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1" w:type="dxa"/>
        <w:tblInd w:w="38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1167"/>
        <w:gridCol w:w="4473"/>
        <w:gridCol w:w="4741"/>
      </w:tblGrid>
      <w:tr w:rsidR="00AF318A" w:rsidRPr="00AF318A" w:rsidTr="00593EED">
        <w:trPr>
          <w:cantSplit/>
          <w:tblHeader/>
        </w:trPr>
        <w:tc>
          <w:tcPr>
            <w:tcW w:w="5640" w:type="dxa"/>
            <w:gridSpan w:val="2"/>
            <w:tcBorders>
              <w:top w:val="single" w:sz="4" w:space="0" w:color="auto"/>
              <w:bottom w:val="single" w:sz="4" w:space="0" w:color="auto"/>
            </w:tcBorders>
            <w:vAlign w:val="center"/>
          </w:tcPr>
          <w:p w:rsidR="000576F6" w:rsidRPr="00AF318A" w:rsidRDefault="000576F6" w:rsidP="002F1702">
            <w:pPr>
              <w:ind w:leftChars="20" w:left="48" w:rightChars="20" w:right="48"/>
              <w:jc w:val="distribute"/>
              <w:rPr>
                <w:rFonts w:ascii="標楷體" w:eastAsia="標楷體" w:hAnsi="標楷體"/>
                <w:szCs w:val="24"/>
              </w:rPr>
            </w:pPr>
            <w:bookmarkStart w:id="0" w:name="_GoBack"/>
            <w:bookmarkEnd w:id="0"/>
            <w:r w:rsidRPr="00AF318A">
              <w:rPr>
                <w:rFonts w:ascii="標楷體" w:eastAsia="標楷體" w:hAnsi="標楷體" w:hint="eastAsia"/>
                <w:szCs w:val="24"/>
              </w:rPr>
              <w:t>決議、附帶決議及注意事項</w:t>
            </w:r>
          </w:p>
        </w:tc>
        <w:tc>
          <w:tcPr>
            <w:tcW w:w="4741" w:type="dxa"/>
            <w:vMerge w:val="restart"/>
            <w:tcBorders>
              <w:top w:val="single" w:sz="4" w:space="0" w:color="auto"/>
              <w:bottom w:val="single" w:sz="4" w:space="0" w:color="auto"/>
            </w:tcBorders>
            <w:vAlign w:val="center"/>
          </w:tcPr>
          <w:p w:rsidR="000576F6" w:rsidRPr="00AF318A" w:rsidRDefault="000576F6" w:rsidP="002F1702">
            <w:pPr>
              <w:ind w:leftChars="20" w:left="48" w:rightChars="20" w:right="48"/>
              <w:jc w:val="distribute"/>
              <w:rPr>
                <w:rFonts w:ascii="標楷體" w:eastAsia="標楷體" w:hAnsi="標楷體"/>
                <w:szCs w:val="24"/>
              </w:rPr>
            </w:pPr>
            <w:r w:rsidRPr="00AF318A">
              <w:rPr>
                <w:rFonts w:ascii="標楷體" w:eastAsia="標楷體" w:hAnsi="標楷體" w:hint="eastAsia"/>
                <w:szCs w:val="24"/>
              </w:rPr>
              <w:t>辦理情形</w:t>
            </w:r>
          </w:p>
        </w:tc>
      </w:tr>
      <w:tr w:rsidR="00AF318A" w:rsidRPr="00AF318A" w:rsidTr="00593EED">
        <w:trPr>
          <w:cantSplit/>
          <w:tblHeader/>
        </w:trPr>
        <w:tc>
          <w:tcPr>
            <w:tcW w:w="1167" w:type="dxa"/>
            <w:tcBorders>
              <w:top w:val="single" w:sz="4" w:space="0" w:color="auto"/>
              <w:bottom w:val="single" w:sz="4" w:space="0" w:color="auto"/>
            </w:tcBorders>
            <w:vAlign w:val="center"/>
          </w:tcPr>
          <w:p w:rsidR="000576F6" w:rsidRPr="00AF318A" w:rsidRDefault="000576F6" w:rsidP="002F1702">
            <w:pPr>
              <w:ind w:leftChars="20" w:left="48" w:rightChars="20" w:right="48"/>
              <w:jc w:val="distribute"/>
              <w:rPr>
                <w:rFonts w:ascii="標楷體" w:eastAsia="標楷體" w:hAnsi="標楷體"/>
                <w:szCs w:val="24"/>
              </w:rPr>
            </w:pPr>
            <w:r w:rsidRPr="00AF318A">
              <w:rPr>
                <w:rFonts w:ascii="標楷體" w:eastAsia="標楷體" w:hAnsi="標楷體" w:hint="eastAsia"/>
                <w:szCs w:val="24"/>
              </w:rPr>
              <w:t>項次</w:t>
            </w:r>
          </w:p>
        </w:tc>
        <w:tc>
          <w:tcPr>
            <w:tcW w:w="4473" w:type="dxa"/>
            <w:tcBorders>
              <w:top w:val="single" w:sz="4" w:space="0" w:color="auto"/>
              <w:bottom w:val="single" w:sz="4" w:space="0" w:color="auto"/>
            </w:tcBorders>
            <w:vAlign w:val="center"/>
          </w:tcPr>
          <w:p w:rsidR="000576F6" w:rsidRPr="00AF318A" w:rsidRDefault="000576F6" w:rsidP="00F229B7">
            <w:pPr>
              <w:ind w:leftChars="20" w:left="48" w:rightChars="20" w:right="48"/>
              <w:jc w:val="distribute"/>
              <w:rPr>
                <w:rFonts w:ascii="標楷體" w:eastAsia="標楷體" w:hAnsi="標楷體"/>
                <w:szCs w:val="24"/>
              </w:rPr>
            </w:pPr>
            <w:r w:rsidRPr="00AF318A">
              <w:rPr>
                <w:rFonts w:ascii="標楷體" w:eastAsia="標楷體" w:hAnsi="標楷體" w:hint="eastAsia"/>
                <w:szCs w:val="24"/>
              </w:rPr>
              <w:t>內容</w:t>
            </w:r>
          </w:p>
        </w:tc>
        <w:tc>
          <w:tcPr>
            <w:tcW w:w="4741" w:type="dxa"/>
            <w:vMerge/>
            <w:tcBorders>
              <w:top w:val="single" w:sz="4" w:space="0" w:color="auto"/>
              <w:bottom w:val="single" w:sz="4" w:space="0" w:color="auto"/>
            </w:tcBorders>
            <w:vAlign w:val="center"/>
          </w:tcPr>
          <w:p w:rsidR="000576F6" w:rsidRPr="00AF318A" w:rsidRDefault="000576F6" w:rsidP="002F1702">
            <w:pPr>
              <w:ind w:leftChars="20" w:left="48" w:rightChars="20" w:right="48"/>
              <w:jc w:val="distribute"/>
              <w:rPr>
                <w:rFonts w:ascii="標楷體" w:eastAsia="標楷體" w:hAnsi="標楷體"/>
                <w:szCs w:val="24"/>
              </w:rPr>
            </w:pPr>
          </w:p>
        </w:tc>
      </w:tr>
      <w:tr w:rsidR="00AF318A" w:rsidRPr="00AF318A" w:rsidTr="00593EED">
        <w:trPr>
          <w:trHeight w:val="407"/>
        </w:trPr>
        <w:tc>
          <w:tcPr>
            <w:tcW w:w="1167" w:type="dxa"/>
            <w:tcBorders>
              <w:top w:val="single" w:sz="4" w:space="0" w:color="auto"/>
            </w:tcBorders>
          </w:tcPr>
          <w:p w:rsidR="00C54A96" w:rsidRPr="00AF318A" w:rsidRDefault="00C54A96" w:rsidP="002F1702">
            <w:pPr>
              <w:pStyle w:val="xl36"/>
              <w:widowControl w:val="0"/>
              <w:snapToGrid w:val="0"/>
              <w:spacing w:before="0" w:after="0" w:line="340" w:lineRule="exact"/>
              <w:ind w:leftChars="20" w:left="48" w:rightChars="20" w:right="48"/>
              <w:textAlignment w:val="auto"/>
              <w:rPr>
                <w:rFonts w:ascii="標楷體" w:eastAsia="標楷體" w:hAnsi="標楷體"/>
                <w:snapToGrid w:val="0"/>
                <w:sz w:val="24"/>
                <w:szCs w:val="24"/>
              </w:rPr>
            </w:pPr>
          </w:p>
          <w:p w:rsidR="00FE1DB5" w:rsidRPr="00AF318A" w:rsidRDefault="006D069B" w:rsidP="00CE75E8">
            <w:pPr>
              <w:pStyle w:val="xl36"/>
              <w:widowControl w:val="0"/>
              <w:spacing w:before="0" w:after="0" w:line="340" w:lineRule="exact"/>
              <w:ind w:leftChars="20" w:left="48" w:rightChars="20" w:right="48"/>
              <w:textAlignment w:val="auto"/>
              <w:rPr>
                <w:rFonts w:ascii="標楷體" w:eastAsia="標楷體" w:hAnsi="標楷體"/>
                <w:snapToGrid w:val="0"/>
                <w:sz w:val="24"/>
                <w:szCs w:val="24"/>
              </w:rPr>
            </w:pPr>
            <w:r w:rsidRPr="00AF318A">
              <w:rPr>
                <w:rFonts w:ascii="標楷體" w:eastAsia="標楷體" w:hAnsi="標楷體" w:hint="eastAsia"/>
                <w:snapToGrid w:val="0"/>
                <w:sz w:val="24"/>
                <w:szCs w:val="24"/>
              </w:rPr>
              <w:t>(一)</w:t>
            </w:r>
          </w:p>
        </w:tc>
        <w:tc>
          <w:tcPr>
            <w:tcW w:w="4473" w:type="dxa"/>
            <w:tcBorders>
              <w:top w:val="single" w:sz="4" w:space="0" w:color="auto"/>
            </w:tcBorders>
            <w:shd w:val="clear" w:color="auto" w:fill="auto"/>
          </w:tcPr>
          <w:p w:rsidR="00C54A96" w:rsidRPr="00AF318A" w:rsidRDefault="008A2361" w:rsidP="002F1702">
            <w:pPr>
              <w:pStyle w:val="a8"/>
              <w:snapToGrid w:val="0"/>
              <w:ind w:leftChars="20" w:left="288" w:rightChars="20" w:right="48" w:hanging="240"/>
              <w:rPr>
                <w:snapToGrid w:val="0"/>
                <w:kern w:val="0"/>
                <w:sz w:val="24"/>
                <w:szCs w:val="24"/>
              </w:rPr>
            </w:pPr>
            <w:r w:rsidRPr="00AF318A">
              <w:rPr>
                <w:rFonts w:hint="eastAsia"/>
                <w:snapToGrid w:val="0"/>
                <w:kern w:val="0"/>
                <w:sz w:val="24"/>
                <w:szCs w:val="24"/>
              </w:rPr>
              <w:t>一、</w:t>
            </w:r>
            <w:r w:rsidR="00C54A96" w:rsidRPr="00AF318A">
              <w:rPr>
                <w:snapToGrid w:val="0"/>
                <w:kern w:val="0"/>
                <w:sz w:val="24"/>
                <w:szCs w:val="24"/>
              </w:rPr>
              <w:t>通案決議</w:t>
            </w:r>
            <w:r w:rsidRPr="00AF318A">
              <w:rPr>
                <w:rFonts w:hint="eastAsia"/>
                <w:snapToGrid w:val="0"/>
                <w:kern w:val="0"/>
                <w:sz w:val="24"/>
                <w:szCs w:val="24"/>
              </w:rPr>
              <w:t>部分：</w:t>
            </w:r>
          </w:p>
          <w:p w:rsidR="000F5586" w:rsidRPr="00AF318A" w:rsidRDefault="00D846C7" w:rsidP="000F5586">
            <w:pPr>
              <w:autoSpaceDE w:val="0"/>
              <w:autoSpaceDN w:val="0"/>
              <w:spacing w:line="340" w:lineRule="exact"/>
              <w:ind w:leftChars="20" w:left="48" w:rightChars="20" w:right="48"/>
              <w:jc w:val="both"/>
              <w:rPr>
                <w:rFonts w:ascii="標楷體" w:eastAsia="標楷體" w:hAnsi="標楷體" w:cs="DFMing-Lt-HK-BF"/>
                <w:kern w:val="0"/>
                <w:szCs w:val="24"/>
              </w:rPr>
            </w:pPr>
            <w:r w:rsidRPr="00AF318A">
              <w:rPr>
                <w:rFonts w:ascii="標楷體" w:eastAsia="標楷體" w:hAnsi="標楷體" w:cs="DFMing-Lt-HK-BF" w:hint="eastAsia"/>
                <w:kern w:val="0"/>
                <w:szCs w:val="24"/>
              </w:rPr>
              <w:t>111</w:t>
            </w:r>
            <w:r w:rsidR="000F5586" w:rsidRPr="00AF318A">
              <w:rPr>
                <w:rFonts w:ascii="標楷體" w:eastAsia="標楷體" w:hAnsi="標楷體" w:cs="DFMing-Lt-HK-BF" w:hint="eastAsia"/>
                <w:kern w:val="0"/>
                <w:szCs w:val="24"/>
              </w:rPr>
              <w:t xml:space="preserve"> </w:t>
            </w:r>
            <w:r w:rsidR="00AA3868">
              <w:rPr>
                <w:rFonts w:ascii="標楷體" w:eastAsia="標楷體" w:hAnsi="標楷體" w:cs="DFMing-Lt-HK-BF" w:hint="eastAsia"/>
                <w:kern w:val="0"/>
                <w:szCs w:val="24"/>
              </w:rPr>
              <w:t>年度中央政府總預算案針對各機關及所屬統</w:t>
            </w:r>
            <w:r w:rsidR="00FE2FA7" w:rsidRPr="00AF318A">
              <w:rPr>
                <w:rFonts w:ascii="標楷體" w:eastAsia="標楷體" w:hAnsi="標楷體" w:cs="DFMing-Lt-HK-BF" w:hint="eastAsia"/>
                <w:kern w:val="0"/>
                <w:szCs w:val="24"/>
              </w:rPr>
              <w:t>刪項</w:t>
            </w:r>
            <w:r w:rsidR="00AA3868">
              <w:rPr>
                <w:rFonts w:ascii="標楷體" w:eastAsia="標楷體" w:hAnsi="標楷體" w:cs="DFMing-Lt-HK-BF" w:hint="eastAsia"/>
                <w:kern w:val="0"/>
                <w:szCs w:val="24"/>
              </w:rPr>
              <w:t>目如下</w:t>
            </w:r>
            <w:r w:rsidR="000F5586" w:rsidRPr="00AF318A">
              <w:rPr>
                <w:rFonts w:ascii="標楷體" w:eastAsia="標楷體" w:hAnsi="標楷體" w:cs="DFMing-Lt-HK-BF" w:hint="eastAsia"/>
                <w:kern w:val="0"/>
                <w:szCs w:val="24"/>
              </w:rPr>
              <w:t>：</w:t>
            </w:r>
          </w:p>
          <w:p w:rsidR="00453802" w:rsidRDefault="00FE2FA7" w:rsidP="00DD4C8C">
            <w:pPr>
              <w:pStyle w:val="ae"/>
              <w:numPr>
                <w:ilvl w:val="0"/>
                <w:numId w:val="3"/>
              </w:numPr>
              <w:autoSpaceDE w:val="0"/>
              <w:autoSpaceDN w:val="0"/>
              <w:spacing w:line="340" w:lineRule="exact"/>
              <w:ind w:leftChars="0" w:left="397" w:rightChars="20" w:right="48" w:hanging="284"/>
              <w:jc w:val="both"/>
              <w:rPr>
                <w:rFonts w:ascii="標楷體" w:eastAsia="標楷體" w:hAnsi="標楷體" w:cs="DFMing-Lt-HK-BF"/>
                <w:kern w:val="0"/>
                <w:szCs w:val="24"/>
              </w:rPr>
            </w:pPr>
            <w:r w:rsidRPr="00453802">
              <w:rPr>
                <w:rFonts w:ascii="標楷體" w:eastAsia="標楷體" w:hAnsi="標楷體" w:cs="DFMing-Lt-HK-BF" w:hint="eastAsia"/>
                <w:kern w:val="0"/>
                <w:szCs w:val="24"/>
              </w:rPr>
              <w:t>大陸地區旅費：統刪50％，其中警政署及所屬、移民署、法務部、司法官學院、廉政署、矯正署及所屬、調查局、觀光局及所屬改以其他項目刪減替代，科目自行調整</w:t>
            </w:r>
            <w:r w:rsidR="000F5586" w:rsidRPr="00453802">
              <w:rPr>
                <w:rFonts w:ascii="標楷體" w:eastAsia="標楷體" w:hAnsi="標楷體" w:cs="DFMing-Lt-HK-BF" w:hint="eastAsia"/>
                <w:kern w:val="0"/>
                <w:szCs w:val="24"/>
              </w:rPr>
              <w:t>。</w:t>
            </w:r>
          </w:p>
          <w:p w:rsidR="00453802" w:rsidRDefault="00FE2FA7" w:rsidP="00DD4C8C">
            <w:pPr>
              <w:pStyle w:val="ae"/>
              <w:numPr>
                <w:ilvl w:val="0"/>
                <w:numId w:val="3"/>
              </w:numPr>
              <w:autoSpaceDE w:val="0"/>
              <w:autoSpaceDN w:val="0"/>
              <w:spacing w:line="340" w:lineRule="exact"/>
              <w:ind w:leftChars="0" w:left="397" w:rightChars="20" w:right="48" w:hanging="284"/>
              <w:jc w:val="both"/>
              <w:rPr>
                <w:rFonts w:ascii="標楷體" w:eastAsia="標楷體" w:hAnsi="標楷體" w:cs="DFMing-Lt-HK-BF"/>
                <w:kern w:val="0"/>
                <w:szCs w:val="24"/>
              </w:rPr>
            </w:pPr>
            <w:r w:rsidRPr="00453802">
              <w:rPr>
                <w:rFonts w:ascii="標楷體" w:eastAsia="標楷體" w:hAnsi="標楷體" w:cs="DFMing-Lt-HK-BF" w:hint="eastAsia"/>
                <w:kern w:val="0"/>
                <w:szCs w:val="24"/>
              </w:rPr>
              <w:t>國外旅費及出國教育訓練費：除現行法律明文規定支出不刪外，其餘統刪5%，其中總統府、國家安全會議、外交部、領事事務局、國防部、僑務委員會改以其他項目刪減替代，科目自行調整</w:t>
            </w:r>
            <w:r w:rsidR="000F5586" w:rsidRPr="00453802">
              <w:rPr>
                <w:rFonts w:ascii="標楷體" w:eastAsia="標楷體" w:hAnsi="標楷體" w:cs="DFMing-Lt-HK-BF" w:hint="eastAsia"/>
                <w:kern w:val="0"/>
                <w:szCs w:val="24"/>
              </w:rPr>
              <w:t>。</w:t>
            </w:r>
          </w:p>
          <w:p w:rsidR="00475A81" w:rsidRPr="00453802" w:rsidRDefault="002F72D1" w:rsidP="00DD4C8C">
            <w:pPr>
              <w:pStyle w:val="ae"/>
              <w:numPr>
                <w:ilvl w:val="0"/>
                <w:numId w:val="3"/>
              </w:numPr>
              <w:autoSpaceDE w:val="0"/>
              <w:autoSpaceDN w:val="0"/>
              <w:spacing w:line="340" w:lineRule="exact"/>
              <w:ind w:leftChars="0" w:left="397" w:rightChars="20" w:right="48" w:hanging="253"/>
              <w:jc w:val="both"/>
              <w:rPr>
                <w:rFonts w:ascii="標楷體" w:eastAsia="標楷體" w:hAnsi="標楷體" w:cs="DFMing-Lt-HK-BF"/>
                <w:kern w:val="0"/>
                <w:szCs w:val="24"/>
              </w:rPr>
            </w:pPr>
            <w:r w:rsidRPr="00453802">
              <w:rPr>
                <w:rFonts w:ascii="標楷體" w:eastAsia="標楷體" w:hAnsi="標楷體" w:cs="DFMing-Lt-HK-BF" w:hint="eastAsia"/>
                <w:kern w:val="0"/>
                <w:szCs w:val="24"/>
              </w:rPr>
              <w:t>委辦費：除現行法律明文規定支出不刪外，其餘統刪5%，其中總統府、國家安全會議、主計總處、國立故宮博物院、客家委員會及所屬、大陸委員會、立法院、考試院、審計部、內政部、營建署及所屬、役政署、建築研究所、外交及國際事務學院、國防部、國防部所屬、財政部、國庫署、體育署、國家教育研究院、法務部、司法官學院、廉政署、矯正署及所屬、臺灣高等檢察署、交通部、中央氣象局、觀光局及所屬、公路總局及所屬、職業安全衛生署、僑務委員會、畜產試驗所、家畜衛生試驗所、農業藥物毒物試驗所、種苗改良繁殖場、臺南區農業改良場、花蓮區農業改良場、動植物防疫檢疫局及所屬、農糧署及所屬、中部科學園區管理局、南部科學園區管理局、證券期貨局、海洋委員會、海巡署及所屬、海洋保育署、國家海洋研究院改以其他項目刪減替代，科目自行調整</w:t>
            </w:r>
            <w:r w:rsidR="000F5586" w:rsidRPr="00453802">
              <w:rPr>
                <w:rFonts w:ascii="標楷體" w:eastAsia="標楷體" w:hAnsi="標楷體" w:cs="DFMing-Lt-HK-BF" w:hint="eastAsia"/>
                <w:kern w:val="0"/>
                <w:szCs w:val="24"/>
              </w:rPr>
              <w:t>。</w:t>
            </w:r>
          </w:p>
          <w:p w:rsidR="00475A81" w:rsidRPr="00B359D2" w:rsidRDefault="002F72D1" w:rsidP="00DD4C8C">
            <w:pPr>
              <w:pStyle w:val="ae"/>
              <w:numPr>
                <w:ilvl w:val="0"/>
                <w:numId w:val="3"/>
              </w:numPr>
              <w:autoSpaceDE w:val="0"/>
              <w:autoSpaceDN w:val="0"/>
              <w:spacing w:line="340" w:lineRule="exact"/>
              <w:ind w:leftChars="0" w:left="397" w:rightChars="20" w:right="48" w:hanging="253"/>
              <w:jc w:val="both"/>
              <w:rPr>
                <w:rFonts w:ascii="標楷體" w:eastAsia="標楷體" w:hAnsi="標楷體" w:cs="DFMing-Lt-HK-BF"/>
                <w:kern w:val="0"/>
                <w:szCs w:val="24"/>
              </w:rPr>
            </w:pPr>
            <w:r w:rsidRPr="00B359D2">
              <w:rPr>
                <w:rFonts w:ascii="標楷體" w:eastAsia="標楷體" w:hAnsi="標楷體" w:cs="DFMing-Lt-HK-BF" w:hint="eastAsia"/>
                <w:kern w:val="0"/>
                <w:szCs w:val="24"/>
              </w:rPr>
              <w:t>房屋建築養護費、車輛及辦公器具養護費、設施及機械設備養護費：統刪5%，其中主計總處、公務人力發展學院、國</w:t>
            </w:r>
            <w:r w:rsidRPr="00B359D2">
              <w:rPr>
                <w:rFonts w:ascii="標楷體" w:eastAsia="標楷體" w:hAnsi="標楷體" w:cs="DFMing-Lt-HK-BF" w:hint="eastAsia"/>
                <w:kern w:val="0"/>
                <w:szCs w:val="24"/>
              </w:rPr>
              <w:lastRenderedPageBreak/>
              <w:t>立故宮博物院、國家發展委員會、大陸委員會、立法院、臺灣臺北地方法院、臺灣士林地方法院、臺灣新北地方法院、臺灣臺中地方法院、臺灣雲林地方法院、臺灣嘉義地方法院、臺灣臺南地方法院、臺灣高雄地方法院、臺灣屏東地方法院、臺灣臺東地方法院、臺灣花蓮地方法院、臺灣澎湖地方法院、福建金門地方法院、監察院、審計部、審計部臺北市審計處、審計部新北市審計處、審計部桃園市審計處、審計部臺中市審計處、審計部臺南市審計處、審計部高雄市審計處、內政部、營建署及所屬、警政署及所屬、消防署及所屬、移民署、領事事務局、外交及國際事務學院、國防部所屬、國庫署、賦稅署、臺北國稅局、高雄國稅局、北區國稅局及所屬、南區國稅局及所屬、關務署及所屬、國有財產署及所屬、財政資訊中心、教育部、體育署、國家圖書館、國立公共資訊圖書館、國立教育廣播電臺、國家教育研究院、法務部、司法官學院、法醫研究所、廉政署、矯正署及所屬、行政執行署及所屬、最高檢察署、臺灣高等檢察署、臺灣高等檢察署臺中檢察分署、臺灣高等檢察署臺南檢察分署、臺灣高等檢察署高雄檢察分署、臺灣高等檢察署花蓮檢察分署、臺灣高等檢察署智慧財產檢察分署、臺灣臺北地方檢察署、臺灣士林地方檢察署、臺灣新北地方檢察署、臺灣桃園地方檢察署、臺灣新竹地方檢察署、臺灣苗栗地方檢察署、臺灣臺中地方檢察署、臺灣南投地方檢察署、臺灣彰化地方檢察署、臺灣雲林地方檢察署、臺灣嘉義地方檢察署、臺灣臺南地方檢察署、臺灣橋頭地方檢察署、臺灣高雄地方檢察署、臺灣</w:t>
            </w:r>
            <w:r w:rsidRPr="00B359D2">
              <w:rPr>
                <w:rFonts w:ascii="標楷體" w:eastAsia="標楷體" w:hAnsi="標楷體" w:cs="DFMing-Lt-HK-BF" w:hint="eastAsia"/>
                <w:kern w:val="0"/>
                <w:szCs w:val="24"/>
              </w:rPr>
              <w:lastRenderedPageBreak/>
              <w:t>屏東地方檢察署、臺灣臺東地方檢察署、臺灣花蓮地方檢察署、臺灣宜蘭地方檢察署、臺灣基隆地方檢察署、臺灣澎湖地方檢察署、福建高等檢察署金門檢察分署、福建金門地方檢察署、福建連江地方檢察署、調查局、經濟部、標準檢驗局及所屬、中小企業處、加工出口區管理處及所屬、交通部、民用航空局、中央氣象局、觀光局及所屬、運輸研究所、公路總局及所屬、鐵道局及所屬、僑務委員會、原子能委員會、輻射偵測中心、放射性物料管理局、農業委員會、水土保持局、家畜衛生試驗所、桃園區農業改良場、臺中區農業改良場、臺南區農業改良場、高雄區農業改良場、花蓮區農業改良場、漁業署及所屬、動植物防疫檢疫局及所屬、農糧署及所屬、農田水利署、毒物及化學物質局、環境檢驗所、新竹科學園區管理局、證券期貨局、海洋委員會、海巡署及所屬、海洋保育署、國家海洋研究院改以其他項目刪減替代，科目自行調整</w:t>
            </w:r>
            <w:r w:rsidR="000F5586" w:rsidRPr="00B359D2">
              <w:rPr>
                <w:rFonts w:ascii="標楷體" w:eastAsia="標楷體" w:hAnsi="標楷體" w:cs="DFMing-Lt-HK-BF" w:hint="eastAsia"/>
                <w:kern w:val="0"/>
                <w:szCs w:val="24"/>
              </w:rPr>
              <w:t>。</w:t>
            </w:r>
          </w:p>
          <w:p w:rsidR="00475A81" w:rsidRDefault="00682FB4" w:rsidP="00DD4C8C">
            <w:pPr>
              <w:pStyle w:val="ae"/>
              <w:numPr>
                <w:ilvl w:val="0"/>
                <w:numId w:val="3"/>
              </w:numPr>
              <w:autoSpaceDE w:val="0"/>
              <w:autoSpaceDN w:val="0"/>
              <w:spacing w:line="340" w:lineRule="exact"/>
              <w:ind w:leftChars="0" w:left="397" w:rightChars="20" w:right="48" w:hanging="253"/>
              <w:jc w:val="both"/>
              <w:rPr>
                <w:rFonts w:ascii="標楷體" w:eastAsia="標楷體" w:hAnsi="標楷體" w:cs="DFMing-Lt-HK-BF"/>
                <w:kern w:val="0"/>
                <w:szCs w:val="24"/>
              </w:rPr>
            </w:pPr>
            <w:r w:rsidRPr="00453802">
              <w:rPr>
                <w:rFonts w:ascii="標楷體" w:eastAsia="標楷體" w:hAnsi="標楷體" w:cs="DFMing-Lt-HK-BF" w:hint="eastAsia"/>
                <w:kern w:val="0"/>
                <w:szCs w:val="24"/>
              </w:rPr>
              <w:t>軍事裝備及設施：統刪3％，其中國防部所屬改以其他項目刪減替代，科目自行調整</w:t>
            </w:r>
            <w:r w:rsidR="000F5586" w:rsidRPr="00453802">
              <w:rPr>
                <w:rFonts w:ascii="標楷體" w:eastAsia="標楷體" w:hAnsi="標楷體" w:cs="DFMing-Lt-HK-BF" w:hint="eastAsia"/>
                <w:kern w:val="0"/>
                <w:szCs w:val="24"/>
              </w:rPr>
              <w:t>。</w:t>
            </w:r>
          </w:p>
          <w:p w:rsidR="00475A81" w:rsidRPr="004D6B79" w:rsidRDefault="00682FB4" w:rsidP="00DD4C8C">
            <w:pPr>
              <w:pStyle w:val="ae"/>
              <w:numPr>
                <w:ilvl w:val="0"/>
                <w:numId w:val="3"/>
              </w:numPr>
              <w:autoSpaceDE w:val="0"/>
              <w:autoSpaceDN w:val="0"/>
              <w:spacing w:line="340" w:lineRule="exact"/>
              <w:ind w:leftChars="0" w:left="397" w:rightChars="20" w:right="48" w:hanging="284"/>
              <w:jc w:val="both"/>
              <w:rPr>
                <w:rFonts w:ascii="標楷體" w:eastAsia="標楷體" w:hAnsi="標楷體" w:cs="DFMing-Lt-HK-BF"/>
                <w:kern w:val="0"/>
                <w:szCs w:val="24"/>
              </w:rPr>
            </w:pPr>
            <w:r w:rsidRPr="004D6B79">
              <w:rPr>
                <w:rFonts w:ascii="標楷體" w:eastAsia="標楷體" w:hAnsi="標楷體" w:cs="DFMing-Lt-HK-BF" w:hint="eastAsia"/>
                <w:kern w:val="0"/>
                <w:szCs w:val="24"/>
              </w:rPr>
              <w:t>一般事務費：除現行法律明文規定支出不刪外，其餘統刪5%，其中總統府、主計總處、國家發展委員會、公平交易委員會、國家通訊傳播委員會、大陸委員會、公共工程委員會、立法院、司法院、最高法院、最高行政法院、臺北高等行政法院、臺中高等行政法院、高雄高等行政法院、懲戒法院、法官學院、智慧財產及商業法院、臺灣高等法院、臺灣高等法院臺中分院、臺灣高等法院臺南分院、臺灣高等法院高雄分院、臺灣高等法院花蓮分院、臺灣臺北地方法院、</w:t>
            </w:r>
            <w:r w:rsidRPr="004D6B79">
              <w:rPr>
                <w:rFonts w:ascii="標楷體" w:eastAsia="標楷體" w:hAnsi="標楷體" w:cs="DFMing-Lt-HK-BF" w:hint="eastAsia"/>
                <w:kern w:val="0"/>
                <w:szCs w:val="24"/>
              </w:rPr>
              <w:lastRenderedPageBreak/>
              <w:t>臺灣士林地方法院、臺灣新北地方法院、臺灣桃園地方法院、臺灣新竹地方法院、臺灣苗栗地方法院、臺灣臺中地方法院、臺灣南投地方法院、臺灣彰化地方法院、臺灣雲林地方法院、臺灣嘉義地方法院、臺灣臺南地方法院、臺灣橋頭地方法院、臺灣高雄地方法院、臺灣屏東地方法院、臺灣臺東地方法院、臺灣花蓮地方法院、臺灣宜蘭地方法院、臺灣基隆地方法院、臺灣澎湖地方法院、臺灣高雄少年及家事法院、福建高等法院金門分院、福建金門地方法院、福建連江地方法院、考試院、銓敘部、審計部、審計部臺北市審計處、審計部新北市審計處、審計部桃園市審計處、審計部臺中市審計處、審計部臺南市審計處、審計部高雄市審計處、營建署及所屬、警政署及所屬、中央警察大學、消防署及所屬、役政署、移民署、空中勤務總隊、外交部、國防部、國防部所屬、財政部、國庫署、臺北國稅局、高雄國稅局、北區國稅局及所屬、中區國稅局及所屬、南區國稅局及所屬、關務署及所屬、國有財產署及所屬、財政資訊中心、國家圖書館、國立公共資訊圖書館、國立教育廣播電臺、國家教育研究院、法務部、司法官學院、法醫研究所、廉政署、矯正署及所屬、行政執行署及所屬、最高檢察署、臺灣高等檢察署、臺灣高等檢察署臺中檢察分署、臺灣高等檢察署臺南檢察分署、臺灣高等檢察署高雄檢察分署、臺灣高等檢察署花蓮檢察分署、臺灣高等檢察署智慧財產檢察分署、臺灣臺北地方檢察署、臺灣士林地方檢察署、臺灣新北地方檢察署、臺灣桃園地方檢察署、臺灣新竹地方檢察署、臺灣苗栗地方檢察署、臺</w:t>
            </w:r>
            <w:r w:rsidRPr="004D6B79">
              <w:rPr>
                <w:rFonts w:ascii="標楷體" w:eastAsia="標楷體" w:hAnsi="標楷體" w:cs="DFMing-Lt-HK-BF" w:hint="eastAsia"/>
                <w:kern w:val="0"/>
                <w:szCs w:val="24"/>
              </w:rPr>
              <w:lastRenderedPageBreak/>
              <w:t>灣臺中地方檢察署、臺灣南投地方檢察署、臺灣彰化地方檢察署、臺灣雲林地方檢察署、臺灣嘉義地方檢察署、臺灣臺南地方檢察署、臺灣橋頭地方檢察署、臺灣高雄地方檢察署、臺灣屏東地方檢察署、臺灣臺東地方檢察署、臺灣花蓮地方檢察署、臺灣宜蘭地方檢察署、臺灣基隆地方檢察署、臺灣澎湖地方檢察署、福建高等檢察署金門檢察分署、福建金門地方檢察署、福建連江地方檢察署、調查局、經濟部、標準檢驗局及所屬、中小企業處、加工出口區管理處及所屬、中央地質調查所、交通部、民用航空局、中央氣象局、觀光局及所屬、公路總局及所屬、鐵道局及所屬、原子能委員會、輻射偵測中心、放射性物料管理局、農業委員會、水土保持局、家畜衛生試驗所、臺南區農業改良場、花蓮區農業改良場、漁業署及所屬、動植物防疫檢疫局及所屬、農業金融局、農糧署及所屬、農田水利署、中央健康保險署、毒物及化學物質局、新竹科學園區管理局、中部科學園區管理局、金融監督管理委員會、銀行局、證券期貨局、保險局、檢查局、海洋委員會、海巡署及所屬、海洋保育署、國家海洋研究院改以其他項目刪減替代，科目自行調整</w:t>
            </w:r>
            <w:r w:rsidR="000F5586" w:rsidRPr="004D6B79">
              <w:rPr>
                <w:rFonts w:ascii="標楷體" w:eastAsia="標楷體" w:hAnsi="標楷體" w:cs="DFMing-Lt-HK-BF" w:hint="eastAsia"/>
                <w:kern w:val="0"/>
                <w:szCs w:val="24"/>
              </w:rPr>
              <w:t>。</w:t>
            </w:r>
          </w:p>
          <w:p w:rsidR="00475A81" w:rsidRPr="009B2FF5" w:rsidRDefault="009729D2" w:rsidP="00DD4C8C">
            <w:pPr>
              <w:pStyle w:val="ae"/>
              <w:numPr>
                <w:ilvl w:val="0"/>
                <w:numId w:val="3"/>
              </w:numPr>
              <w:autoSpaceDE w:val="0"/>
              <w:autoSpaceDN w:val="0"/>
              <w:spacing w:line="340" w:lineRule="exact"/>
              <w:ind w:leftChars="0" w:left="397" w:rightChars="20" w:right="48" w:hanging="253"/>
              <w:jc w:val="both"/>
              <w:rPr>
                <w:rFonts w:ascii="標楷體" w:eastAsia="標楷體" w:hAnsi="標楷體" w:cs="DFMing-Lt-HK-BF"/>
                <w:kern w:val="0"/>
                <w:szCs w:val="24"/>
              </w:rPr>
            </w:pPr>
            <w:r w:rsidRPr="009B2FF5">
              <w:rPr>
                <w:rFonts w:ascii="標楷體" w:eastAsia="標楷體" w:hAnsi="標楷體" w:cs="DFMing-Lt-HK-BF" w:hint="eastAsia"/>
                <w:kern w:val="0"/>
                <w:szCs w:val="24"/>
              </w:rPr>
              <w:t>媒體政策及業務宣導費：除農業委員會動植物防疫檢疫局及所屬、衛生福利部疾病管制署不刪外；總統府主管、國立故宮博物院、檔案管理局、原住民族文化發展中心、中央選舉委員會及所屬、促進轉型正義委員會、不當黨產處理委員會、考試院主管、勞動部主管、原子能委員會主管、環境保護署主管、科技部主管、海洋委會主管、國軍退除役官</w:t>
            </w:r>
            <w:r w:rsidRPr="009B2FF5">
              <w:rPr>
                <w:rFonts w:ascii="標楷體" w:eastAsia="標楷體" w:hAnsi="標楷體" w:cs="DFMing-Lt-HK-BF" w:hint="eastAsia"/>
                <w:kern w:val="0"/>
                <w:szCs w:val="24"/>
              </w:rPr>
              <w:lastRenderedPageBreak/>
              <w:t>兵輔導委員會主管統刪5%；行政院、主計總處、國家發展委員會、原住民族委員會、大陸委員會、內政部主管、財政部主管、法務部主管、僑務委員會主管統刪28%；司法院主管統刪30％；客家委員會及所屬、外交部主管、國防部主管、教育部主管、經濟部主管、交通部主管、農業委員會主管(不含動植物防疫檢疫局及所屬)、衛生福利部主管(不含疾病管制署)、文化部主管統刪</w:t>
            </w:r>
            <w:r w:rsidRPr="009B2FF5">
              <w:rPr>
                <w:rFonts w:ascii="標楷體" w:eastAsia="標楷體" w:hAnsi="標楷體" w:cs="DFMing-Lt-HK-BF"/>
                <w:kern w:val="0"/>
                <w:szCs w:val="24"/>
              </w:rPr>
              <w:t>35%</w:t>
            </w:r>
            <w:r w:rsidR="000F5586" w:rsidRPr="009B2FF5">
              <w:rPr>
                <w:rFonts w:ascii="標楷體" w:eastAsia="標楷體" w:hAnsi="標楷體" w:cs="DFMing-Lt-HK-BF" w:hint="eastAsia"/>
                <w:kern w:val="0"/>
                <w:szCs w:val="24"/>
              </w:rPr>
              <w:t>。</w:t>
            </w:r>
          </w:p>
          <w:p w:rsidR="00475A81" w:rsidRPr="00403A8F" w:rsidRDefault="00136C89" w:rsidP="00DD4C8C">
            <w:pPr>
              <w:pStyle w:val="ae"/>
              <w:numPr>
                <w:ilvl w:val="0"/>
                <w:numId w:val="3"/>
              </w:numPr>
              <w:autoSpaceDE w:val="0"/>
              <w:autoSpaceDN w:val="0"/>
              <w:spacing w:line="340" w:lineRule="exact"/>
              <w:ind w:leftChars="0" w:left="397" w:rightChars="20" w:right="48" w:hanging="284"/>
              <w:jc w:val="both"/>
              <w:rPr>
                <w:rFonts w:ascii="標楷體" w:eastAsia="標楷體" w:hAnsi="標楷體" w:cs="DFMing-Lt-HK-BF"/>
                <w:kern w:val="0"/>
                <w:szCs w:val="24"/>
              </w:rPr>
            </w:pPr>
            <w:r w:rsidRPr="00403A8F">
              <w:rPr>
                <w:rFonts w:ascii="標楷體" w:eastAsia="標楷體" w:hAnsi="標楷體" w:cs="DFMing-Lt-HK-BF" w:hint="eastAsia"/>
                <w:kern w:val="0"/>
                <w:szCs w:val="24"/>
              </w:rPr>
              <w:t>設備及投資：除現行法律明文規定支出及資產作價投資不刪外，其餘統刪6%，其中大陸委員會、立法院、司法院、最高法院、最高行政法院、臺北高等行政法院、臺中高等行政法院、高雄高等行政法院、懲戒法院、法官學院、智慧財產及商業法院、臺灣高等法院、臺灣高等法院臺中分院、臺灣高等法院臺南分院、臺灣高等法院高雄分院、臺灣高等法院花蓮分院、臺灣士林地方法院、臺灣新北地方法院、臺灣桃園地方法院、臺灣新竹地方法院、臺灣苗栗地方法院、臺灣臺中地方法院、臺灣南投地方法院、臺灣彰化地方法院、臺灣雲林地方法院、臺灣嘉義地方法院、臺灣臺南地方法院、臺灣橋頭地方法院、臺灣高雄地方法院、臺灣屏東地方法院、臺灣臺東地方法院、臺灣花蓮地方法院、臺灣宜蘭地方法院、臺灣基隆地方法院、臺灣澎湖地方法院、臺灣高雄少年及家事法院、福建高等法院金門分院、福建金門地方法院、福建連江地方法院、監察院、審計部臺北市審計處、審計部新北市審計處、審計部桃園市審計處、審計部臺中市審計處、審計部臺南市審計處、審計部高雄市審計處、役政署、建築研究所、外交及國際事務學院、財政</w:t>
            </w:r>
            <w:r w:rsidRPr="00403A8F">
              <w:rPr>
                <w:rFonts w:ascii="標楷體" w:eastAsia="標楷體" w:hAnsi="標楷體" w:cs="DFMing-Lt-HK-BF" w:hint="eastAsia"/>
                <w:kern w:val="0"/>
                <w:szCs w:val="24"/>
              </w:rPr>
              <w:lastRenderedPageBreak/>
              <w:t>部、國庫署、賦稅署、臺北國稅局、南區國稅局及所屬、財政資訊中心、國家圖書館、國立公共資訊圖書館、國立教育廣播電臺、國家教育研究院、法務部、司法官學院、法醫研究所、廉政署、最高檢察署、臺灣高等檢察署、臺灣高等檢察署臺中檢察分署、臺灣高等檢察署臺南檢察分署、臺灣高等檢察署高雄檢察分署、臺灣高等檢察署花蓮檢察分署、臺灣高等檢察署智慧財產檢察分署、臺灣臺北地方檢察署、臺灣士林地方檢察署、臺灣新北地方檢察署、臺灣桃園地方檢察署、臺灣新竹地方檢察署、臺灣苗栗地方檢察署、臺灣南投地方檢察署、臺灣雲林地方檢察署、臺灣嘉義地方檢察署、臺灣臺南地方檢察署、臺灣橋頭地方檢察署、臺灣高雄地方檢察署、臺灣屏東地方檢察署、臺灣臺東地方檢察署、臺灣花蓮地方檢察署、臺灣宜蘭地方檢察署、臺灣基隆地方檢察署、臺灣澎湖地方檢察署、福建高等檢察署金門檢察分署、福建金門地方檢察署、福建連江地方檢察署、調查局、經濟部、工業局、標準檢驗局及所屬、中小企業處、加工出口區管理處及所屬、交通部、勞動部、農業委員會、農糧署及所屬、海洋委員會、海洋保育署、國家海洋研究院改以其他項目刪減替代，科目自行調</w:t>
            </w:r>
            <w:r w:rsidR="000F5586" w:rsidRPr="00403A8F">
              <w:rPr>
                <w:rFonts w:ascii="標楷體" w:eastAsia="標楷體" w:hAnsi="標楷體" w:cs="DFMing-Lt-HK-BF" w:hint="eastAsia"/>
                <w:kern w:val="0"/>
                <w:szCs w:val="24"/>
              </w:rPr>
              <w:t>。</w:t>
            </w:r>
          </w:p>
          <w:p w:rsidR="00DD4C8C" w:rsidRPr="00DD4C8C" w:rsidRDefault="00027600" w:rsidP="00DD4C8C">
            <w:pPr>
              <w:pStyle w:val="ae"/>
              <w:numPr>
                <w:ilvl w:val="0"/>
                <w:numId w:val="3"/>
              </w:numPr>
              <w:autoSpaceDE w:val="0"/>
              <w:autoSpaceDN w:val="0"/>
              <w:spacing w:line="340" w:lineRule="exact"/>
              <w:ind w:leftChars="0" w:left="397" w:rightChars="20" w:right="48" w:hanging="253"/>
              <w:jc w:val="both"/>
              <w:rPr>
                <w:rFonts w:ascii="標楷體" w:eastAsia="標楷體" w:hAnsi="標楷體"/>
                <w:snapToGrid w:val="0"/>
                <w:kern w:val="0"/>
                <w:szCs w:val="24"/>
              </w:rPr>
            </w:pPr>
            <w:r w:rsidRPr="00403A8F">
              <w:rPr>
                <w:rFonts w:ascii="標楷體" w:eastAsia="標楷體" w:hAnsi="標楷體" w:hint="eastAsia"/>
                <w:snapToGrid w:val="0"/>
                <w:kern w:val="0"/>
                <w:szCs w:val="24"/>
              </w:rPr>
              <w:t>對國內團體之捐助及政府機關間之補助：除現行法律明文規定支出不刪外，其餘統刪5%，其中客家委員會及所屬、大陸委員會、內政部、營建署及所屬、消防署及所屬、體育署、標準檢驗局及所屬、交通部、觀光局及所屬、公路總局及所屬、核能研究所、農業委員會、水土保持局、漁業署及所屬、動植物防</w:t>
            </w:r>
            <w:r w:rsidRPr="00403A8F">
              <w:rPr>
                <w:rFonts w:ascii="標楷體" w:eastAsia="標楷體" w:hAnsi="標楷體" w:hint="eastAsia"/>
                <w:snapToGrid w:val="0"/>
                <w:kern w:val="0"/>
                <w:szCs w:val="24"/>
              </w:rPr>
              <w:lastRenderedPageBreak/>
              <w:t>疫檢疫局及所屬、環境保護署、新竹科學園區管理局、中部科學園區管理局、海洋委員會、海洋保育署改以其他項目刪減替代，科目自行調整</w:t>
            </w:r>
            <w:r w:rsidR="000F5586" w:rsidRPr="00403A8F">
              <w:rPr>
                <w:rFonts w:ascii="標楷體" w:eastAsia="標楷體" w:hAnsi="標楷體" w:cs="DFMing-Lt-HK-BF" w:hint="eastAsia"/>
                <w:kern w:val="0"/>
                <w:szCs w:val="24"/>
              </w:rPr>
              <w:t>。</w:t>
            </w:r>
          </w:p>
          <w:p w:rsidR="00DD01B4" w:rsidRPr="00AF318A" w:rsidRDefault="00027600" w:rsidP="00DD4C8C">
            <w:pPr>
              <w:pStyle w:val="ae"/>
              <w:numPr>
                <w:ilvl w:val="0"/>
                <w:numId w:val="3"/>
              </w:numPr>
              <w:autoSpaceDE w:val="0"/>
              <w:autoSpaceDN w:val="0"/>
              <w:spacing w:line="340" w:lineRule="exact"/>
              <w:ind w:leftChars="0" w:left="414" w:rightChars="20" w:right="48" w:hanging="365"/>
              <w:jc w:val="both"/>
              <w:rPr>
                <w:rFonts w:ascii="標楷體" w:eastAsia="標楷體" w:hAnsi="標楷體"/>
                <w:snapToGrid w:val="0"/>
                <w:kern w:val="0"/>
                <w:szCs w:val="24"/>
              </w:rPr>
            </w:pPr>
            <w:r w:rsidRPr="00AF318A">
              <w:rPr>
                <w:rFonts w:ascii="標楷體" w:eastAsia="標楷體" w:hAnsi="標楷體" w:hint="eastAsia"/>
                <w:snapToGrid w:val="0"/>
                <w:kern w:val="0"/>
                <w:szCs w:val="24"/>
              </w:rPr>
              <w:t>對地方政府之補助：除現行法律明文規定支出及一般性補助款不刪外，其餘統刪4%，其中役政署、教育部、公路總局及所屬、鐵道局及所屬、動植物防疫檢疫局及所屬、海洋委員會、海洋保育署改以其他項目刪減替代，科目自行調整</w:t>
            </w:r>
            <w:r w:rsidR="000F5586" w:rsidRPr="00AF318A">
              <w:rPr>
                <w:rFonts w:ascii="標楷體" w:eastAsia="標楷體" w:hAnsi="標楷體" w:cs="DFMing-Lt-HK-BF" w:hint="eastAsia"/>
                <w:kern w:val="0"/>
                <w:szCs w:val="24"/>
              </w:rPr>
              <w:t>。</w:t>
            </w:r>
          </w:p>
        </w:tc>
        <w:tc>
          <w:tcPr>
            <w:tcW w:w="4741" w:type="dxa"/>
            <w:tcBorders>
              <w:top w:val="single" w:sz="4" w:space="0" w:color="auto"/>
            </w:tcBorders>
          </w:tcPr>
          <w:p w:rsidR="00FE1DB5" w:rsidRPr="00AF318A" w:rsidRDefault="00FE1DB5" w:rsidP="002F1702">
            <w:pPr>
              <w:pStyle w:val="a8"/>
              <w:snapToGrid w:val="0"/>
              <w:ind w:leftChars="20" w:left="288" w:rightChars="20" w:right="48" w:hanging="240"/>
              <w:rPr>
                <w:snapToGrid w:val="0"/>
                <w:kern w:val="0"/>
                <w:sz w:val="24"/>
                <w:szCs w:val="24"/>
              </w:rPr>
            </w:pPr>
          </w:p>
          <w:p w:rsidR="000261F9" w:rsidRPr="00AF318A" w:rsidRDefault="00D82BC8" w:rsidP="005D2A92">
            <w:pPr>
              <w:autoSpaceDE w:val="0"/>
              <w:autoSpaceDN w:val="0"/>
              <w:adjustRightInd w:val="0"/>
              <w:spacing w:line="340" w:lineRule="exact"/>
              <w:ind w:leftChars="20" w:left="48" w:rightChars="20" w:right="48"/>
              <w:jc w:val="both"/>
              <w:rPr>
                <w:snapToGrid w:val="0"/>
                <w:kern w:val="0"/>
                <w:szCs w:val="24"/>
              </w:rPr>
            </w:pPr>
            <w:r w:rsidRPr="00AF318A">
              <w:rPr>
                <w:rFonts w:ascii="標楷體" w:eastAsia="標楷體" w:hAnsi="標楷體" w:cs="DFMing-Lt-HK-BF" w:hint="eastAsia"/>
                <w:kern w:val="0"/>
                <w:szCs w:val="24"/>
              </w:rPr>
              <w:t>遵照辦理</w:t>
            </w:r>
            <w:r w:rsidR="00680B39" w:rsidRPr="00AF318A">
              <w:rPr>
                <w:rFonts w:ascii="標楷體" w:eastAsia="標楷體" w:hAnsi="標楷體" w:cs="DFMing-Lt-HK-BF" w:hint="eastAsia"/>
                <w:kern w:val="0"/>
                <w:szCs w:val="24"/>
              </w:rPr>
              <w:t>。</w:t>
            </w:r>
          </w:p>
        </w:tc>
      </w:tr>
      <w:tr w:rsidR="00AF318A" w:rsidRPr="00AF318A" w:rsidTr="00593EED">
        <w:trPr>
          <w:trHeight w:val="1289"/>
        </w:trPr>
        <w:tc>
          <w:tcPr>
            <w:tcW w:w="1167" w:type="dxa"/>
          </w:tcPr>
          <w:p w:rsidR="00D917A8" w:rsidRPr="00AF318A" w:rsidRDefault="00D917A8" w:rsidP="002F1702">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AF318A">
              <w:rPr>
                <w:rFonts w:ascii="標楷體" w:eastAsia="標楷體" w:hAnsi="標楷體"/>
                <w:snapToGrid w:val="0"/>
                <w:sz w:val="24"/>
                <w:szCs w:val="24"/>
              </w:rPr>
              <w:lastRenderedPageBreak/>
              <w:t>(</w:t>
            </w:r>
            <w:r w:rsidRPr="00AF318A">
              <w:rPr>
                <w:rFonts w:ascii="標楷體" w:eastAsia="標楷體" w:hAnsi="標楷體" w:hint="eastAsia"/>
                <w:snapToGrid w:val="0"/>
                <w:sz w:val="24"/>
                <w:szCs w:val="24"/>
              </w:rPr>
              <w:t>二</w:t>
            </w:r>
            <w:r w:rsidRPr="00AF318A">
              <w:rPr>
                <w:rFonts w:ascii="標楷體" w:eastAsia="標楷體" w:hAnsi="標楷體"/>
                <w:snapToGrid w:val="0"/>
                <w:sz w:val="24"/>
                <w:szCs w:val="24"/>
              </w:rPr>
              <w:t>)</w:t>
            </w:r>
          </w:p>
        </w:tc>
        <w:tc>
          <w:tcPr>
            <w:tcW w:w="4473" w:type="dxa"/>
            <w:shd w:val="clear" w:color="auto" w:fill="auto"/>
          </w:tcPr>
          <w:p w:rsidR="00DD01B4" w:rsidRPr="00AF318A" w:rsidRDefault="0049224D" w:rsidP="00403A8F">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有鑑於網路社群媒體具有快速傳播特性，各行政機關陸續採取新媒體經營與運用，直接與社會大眾溝通政策及宣導。近年來政府時有挾龐大預算資源於網絡社群平台進行非廣告形式宣傳與澄清之情事，立法院遂於</w:t>
            </w:r>
            <w:r w:rsidR="008139AD">
              <w:rPr>
                <w:rFonts w:ascii="標楷體" w:eastAsia="標楷體" w:hAnsi="標楷體" w:hint="eastAsia"/>
                <w:snapToGrid w:val="0"/>
                <w:kern w:val="0"/>
                <w:szCs w:val="24"/>
              </w:rPr>
              <w:t>110</w:t>
            </w:r>
            <w:r w:rsidRPr="00AF318A">
              <w:rPr>
                <w:rFonts w:ascii="標楷體" w:eastAsia="標楷體" w:hAnsi="標楷體" w:hint="eastAsia"/>
                <w:snapToGrid w:val="0"/>
                <w:kern w:val="0"/>
                <w:szCs w:val="24"/>
              </w:rPr>
              <w:t>年三讀通過修正預算法第</w:t>
            </w:r>
            <w:r w:rsidR="008139AD">
              <w:rPr>
                <w:rFonts w:ascii="標楷體" w:eastAsia="標楷體" w:hAnsi="標楷體" w:hint="eastAsia"/>
                <w:snapToGrid w:val="0"/>
                <w:kern w:val="0"/>
                <w:szCs w:val="24"/>
              </w:rPr>
              <w:t>62</w:t>
            </w:r>
            <w:r w:rsidRPr="00AF318A">
              <w:rPr>
                <w:rFonts w:ascii="標楷體" w:eastAsia="標楷體" w:hAnsi="標楷體" w:hint="eastAsia"/>
                <w:snapToGrid w:val="0"/>
                <w:kern w:val="0"/>
                <w:szCs w:val="24"/>
              </w:rPr>
              <w:t>條之</w:t>
            </w:r>
            <w:r w:rsidR="008139AD">
              <w:rPr>
                <w:rFonts w:ascii="標楷體" w:eastAsia="標楷體" w:hAnsi="標楷體" w:hint="eastAsia"/>
                <w:snapToGrid w:val="0"/>
                <w:kern w:val="0"/>
                <w:szCs w:val="24"/>
              </w:rPr>
              <w:t>1</w:t>
            </w:r>
            <w:r w:rsidRPr="00AF318A">
              <w:rPr>
                <w:rFonts w:ascii="標楷體" w:eastAsia="標楷體" w:hAnsi="標楷體" w:hint="eastAsia"/>
                <w:snapToGrid w:val="0"/>
                <w:kern w:val="0"/>
                <w:szCs w:val="24"/>
              </w:rPr>
              <w:t>條文，目的為將政府於四大媒體（平面媒體、廣播媒體、網路媒體及電視媒體）執行政策宣導時，也能同時納入預算法的規範。行政院主計總處於修法通過後，雖於預算書中增設宣導經費專屬預算科目，並新增媒體政策及業務宣導經費彙計表，然卻將宣導方式限定為於四大媒體所辦理，過去各機關辦理活動、說明會、園遊會或發放各式宣導品之方式，不再納入政策宣導規範。爰此，為利立法院能明確掌握各機關編列政策宣導之實際預算，要求行政院主計總處：1.各機關辦理活動、說明會、園遊會或發放各式宣導品等，應明確揭示辦理或贊助機關名稱，以避免產生置入性行銷之疑慮。2.各機關於四大媒體上處理政策及業務宣導之相關工作者（即小編人力），以委外或勞務承攬方式辦理之經費，應納入政策及業務宣導費彙計表表達，以利預算之呈現</w:t>
            </w:r>
            <w:r w:rsidR="000F5586" w:rsidRPr="00AF318A">
              <w:rPr>
                <w:rFonts w:ascii="標楷體" w:eastAsia="標楷體" w:hAnsi="標楷體" w:hint="eastAsia"/>
                <w:snapToGrid w:val="0"/>
                <w:kern w:val="0"/>
                <w:szCs w:val="24"/>
              </w:rPr>
              <w:t>。</w:t>
            </w:r>
          </w:p>
        </w:tc>
        <w:tc>
          <w:tcPr>
            <w:tcW w:w="4741" w:type="dxa"/>
          </w:tcPr>
          <w:p w:rsidR="00D917A8" w:rsidRPr="00AF318A" w:rsidRDefault="00370709" w:rsidP="002F1702">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遵照辦理</w:t>
            </w:r>
            <w:r w:rsidR="00D57310" w:rsidRPr="00AF318A">
              <w:rPr>
                <w:rFonts w:ascii="標楷體" w:eastAsia="標楷體" w:hAnsi="標楷體" w:hint="eastAsia"/>
                <w:snapToGrid w:val="0"/>
                <w:kern w:val="0"/>
                <w:szCs w:val="24"/>
              </w:rPr>
              <w:t>。</w:t>
            </w:r>
          </w:p>
        </w:tc>
      </w:tr>
      <w:tr w:rsidR="00AF318A" w:rsidRPr="00AF318A" w:rsidTr="00FD5E60">
        <w:trPr>
          <w:trHeight w:val="713"/>
        </w:trPr>
        <w:tc>
          <w:tcPr>
            <w:tcW w:w="1167" w:type="dxa"/>
          </w:tcPr>
          <w:p w:rsidR="00D917A8" w:rsidRPr="00AF318A" w:rsidRDefault="00D917A8" w:rsidP="002F1702">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AF318A">
              <w:rPr>
                <w:rFonts w:ascii="標楷體" w:eastAsia="標楷體" w:hAnsi="標楷體"/>
                <w:snapToGrid w:val="0"/>
                <w:sz w:val="24"/>
                <w:szCs w:val="24"/>
              </w:rPr>
              <w:lastRenderedPageBreak/>
              <w:t>(</w:t>
            </w:r>
            <w:r w:rsidRPr="00AF318A">
              <w:rPr>
                <w:rFonts w:ascii="標楷體" w:eastAsia="標楷體" w:hAnsi="標楷體" w:hint="eastAsia"/>
                <w:snapToGrid w:val="0"/>
                <w:sz w:val="24"/>
                <w:szCs w:val="24"/>
              </w:rPr>
              <w:t>三</w:t>
            </w:r>
            <w:r w:rsidRPr="00AF318A">
              <w:rPr>
                <w:rFonts w:ascii="標楷體" w:eastAsia="標楷體" w:hAnsi="標楷體"/>
                <w:snapToGrid w:val="0"/>
                <w:sz w:val="24"/>
                <w:szCs w:val="24"/>
              </w:rPr>
              <w:t>)</w:t>
            </w:r>
          </w:p>
        </w:tc>
        <w:tc>
          <w:tcPr>
            <w:tcW w:w="4473" w:type="dxa"/>
            <w:shd w:val="clear" w:color="auto" w:fill="auto"/>
          </w:tcPr>
          <w:p w:rsidR="00DD01B4" w:rsidRPr="00AF318A" w:rsidRDefault="00B11DD9" w:rsidP="00B11DD9">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111</w:t>
            </w:r>
            <w:r w:rsidR="002428E1" w:rsidRPr="00AF318A">
              <w:rPr>
                <w:rFonts w:ascii="標楷體" w:eastAsia="標楷體" w:hAnsi="標楷體" w:hint="eastAsia"/>
                <w:snapToGrid w:val="0"/>
                <w:kern w:val="0"/>
                <w:szCs w:val="24"/>
              </w:rPr>
              <w:t>年度中央政府總預算案歲出編列</w:t>
            </w:r>
            <w:r w:rsidRPr="00AF318A">
              <w:rPr>
                <w:rFonts w:ascii="標楷體" w:eastAsia="標楷體" w:hAnsi="標楷體" w:hint="eastAsia"/>
                <w:snapToGrid w:val="0"/>
                <w:kern w:val="0"/>
                <w:szCs w:val="24"/>
              </w:rPr>
              <w:t>2</w:t>
            </w:r>
            <w:r w:rsidR="002428E1" w:rsidRPr="00AF318A">
              <w:rPr>
                <w:rFonts w:ascii="標楷體" w:eastAsia="標楷體" w:hAnsi="標楷體" w:hint="eastAsia"/>
                <w:snapToGrid w:val="0"/>
                <w:kern w:val="0"/>
                <w:szCs w:val="24"/>
              </w:rPr>
              <w:t>兆</w:t>
            </w:r>
            <w:r w:rsidRPr="00AF318A">
              <w:rPr>
                <w:rFonts w:ascii="標楷體" w:eastAsia="標楷體" w:hAnsi="標楷體" w:hint="eastAsia"/>
                <w:snapToGrid w:val="0"/>
                <w:kern w:val="0"/>
                <w:szCs w:val="24"/>
              </w:rPr>
              <w:t>2,621</w:t>
            </w:r>
            <w:r w:rsidR="002428E1" w:rsidRPr="00AF318A">
              <w:rPr>
                <w:rFonts w:ascii="標楷體" w:eastAsia="標楷體" w:hAnsi="標楷體" w:hint="eastAsia"/>
                <w:snapToGrid w:val="0"/>
                <w:kern w:val="0"/>
                <w:szCs w:val="24"/>
              </w:rPr>
              <w:t>億元，其中依法律義務必須編列之支出</w:t>
            </w:r>
            <w:r w:rsidRPr="00AF318A">
              <w:rPr>
                <w:rFonts w:ascii="標楷體" w:eastAsia="標楷體" w:hAnsi="標楷體" w:hint="eastAsia"/>
                <w:snapToGrid w:val="0"/>
                <w:kern w:val="0"/>
                <w:szCs w:val="24"/>
              </w:rPr>
              <w:t>1</w:t>
            </w:r>
            <w:r w:rsidR="002428E1" w:rsidRPr="00AF318A">
              <w:rPr>
                <w:rFonts w:ascii="標楷體" w:eastAsia="標楷體" w:hAnsi="標楷體" w:hint="eastAsia"/>
                <w:snapToGrid w:val="0"/>
                <w:kern w:val="0"/>
                <w:szCs w:val="24"/>
              </w:rPr>
              <w:t>兆</w:t>
            </w:r>
            <w:r w:rsidRPr="00AF318A">
              <w:rPr>
                <w:rFonts w:ascii="標楷體" w:eastAsia="標楷體" w:hAnsi="標楷體" w:hint="eastAsia"/>
                <w:snapToGrid w:val="0"/>
                <w:kern w:val="0"/>
                <w:szCs w:val="24"/>
              </w:rPr>
              <w:t>5,262</w:t>
            </w:r>
            <w:r w:rsidR="002428E1" w:rsidRPr="00AF318A">
              <w:rPr>
                <w:rFonts w:ascii="標楷體" w:eastAsia="標楷體" w:hAnsi="標楷體" w:hint="eastAsia"/>
                <w:snapToGrid w:val="0"/>
                <w:kern w:val="0"/>
                <w:szCs w:val="24"/>
              </w:rPr>
              <w:t>億元，占歲出總額之67.47%，比重近七成，且</w:t>
            </w:r>
            <w:r w:rsidR="008139AD">
              <w:rPr>
                <w:rFonts w:ascii="標楷體" w:eastAsia="標楷體" w:hAnsi="標楷體" w:hint="eastAsia"/>
                <w:snapToGrid w:val="0"/>
                <w:kern w:val="0"/>
                <w:szCs w:val="24"/>
              </w:rPr>
              <w:t>111</w:t>
            </w:r>
            <w:r w:rsidR="002428E1" w:rsidRPr="00AF318A">
              <w:rPr>
                <w:rFonts w:ascii="標楷體" w:eastAsia="標楷體" w:hAnsi="標楷體" w:hint="eastAsia"/>
                <w:snapToGrid w:val="0"/>
                <w:kern w:val="0"/>
                <w:szCs w:val="24"/>
              </w:rPr>
              <w:t>年度較</w:t>
            </w:r>
            <w:r w:rsidR="008139AD">
              <w:rPr>
                <w:rFonts w:ascii="標楷體" w:eastAsia="標楷體" w:hAnsi="標楷體" w:hint="eastAsia"/>
                <w:snapToGrid w:val="0"/>
                <w:kern w:val="0"/>
                <w:szCs w:val="24"/>
              </w:rPr>
              <w:t>110</w:t>
            </w:r>
            <w:r w:rsidR="002428E1" w:rsidRPr="00AF318A">
              <w:rPr>
                <w:rFonts w:ascii="標楷體" w:eastAsia="標楷體" w:hAnsi="標楷體" w:hint="eastAsia"/>
                <w:snapToGrid w:val="0"/>
                <w:kern w:val="0"/>
                <w:szCs w:val="24"/>
              </w:rPr>
              <w:t>年度增加</w:t>
            </w:r>
            <w:r w:rsidR="008139AD">
              <w:rPr>
                <w:rFonts w:ascii="標楷體" w:eastAsia="標楷體" w:hAnsi="標楷體" w:hint="eastAsia"/>
                <w:snapToGrid w:val="0"/>
                <w:kern w:val="0"/>
                <w:szCs w:val="24"/>
              </w:rPr>
              <w:t>129.76</w:t>
            </w:r>
            <w:r w:rsidR="002428E1" w:rsidRPr="00AF318A">
              <w:rPr>
                <w:rFonts w:ascii="標楷體" w:eastAsia="標楷體" w:hAnsi="標楷體" w:hint="eastAsia"/>
                <w:snapToGrid w:val="0"/>
                <w:kern w:val="0"/>
                <w:szCs w:val="24"/>
              </w:rPr>
              <w:t>億元，對歲出結構與其他新興計畫額度有重大關聯性，因分散於各機關預算內，並未於總預算案總說明及主要附表列表揭露，如直接於中央政府總預算案總說明附表中列表揭露，將使歲出資訊更公開透明，且立法院審議</w:t>
            </w:r>
            <w:r w:rsidR="008139AD">
              <w:rPr>
                <w:rFonts w:ascii="標楷體" w:eastAsia="標楷體" w:hAnsi="標楷體" w:hint="eastAsia"/>
                <w:snapToGrid w:val="0"/>
                <w:kern w:val="0"/>
                <w:szCs w:val="24"/>
              </w:rPr>
              <w:t>107</w:t>
            </w:r>
            <w:r w:rsidR="002428E1" w:rsidRPr="00AF318A">
              <w:rPr>
                <w:rFonts w:ascii="標楷體" w:eastAsia="標楷體" w:hAnsi="標楷體" w:hint="eastAsia"/>
                <w:snapToGrid w:val="0"/>
                <w:kern w:val="0"/>
                <w:szCs w:val="24"/>
              </w:rPr>
              <w:t>年度中央政府總預算案時曾作成通案決議(十三)：「……行政院所稱依法律義務之支出，……，應明確界定歸屬該項支出之定義範疇，並於各年度中央政府總預算案中詳實彙核列表揭露其項目、金額與依據，以利審議。」行政院應於</w:t>
            </w:r>
            <w:r w:rsidR="008139AD">
              <w:rPr>
                <w:rFonts w:ascii="標楷體" w:eastAsia="標楷體" w:hAnsi="標楷體" w:hint="eastAsia"/>
                <w:snapToGrid w:val="0"/>
                <w:kern w:val="0"/>
                <w:szCs w:val="24"/>
              </w:rPr>
              <w:t>112</w:t>
            </w:r>
            <w:r w:rsidR="002428E1" w:rsidRPr="00AF318A">
              <w:rPr>
                <w:rFonts w:ascii="標楷體" w:eastAsia="標楷體" w:hAnsi="標楷體" w:hint="eastAsia"/>
                <w:snapToGrid w:val="0"/>
                <w:kern w:val="0"/>
                <w:szCs w:val="24"/>
              </w:rPr>
              <w:t>年度中央政府總預算案附表中列明法律義務支出之項目、金額、預算編列機關、依據等資料，俾利預算審議之參考</w:t>
            </w:r>
            <w:r w:rsidR="000F5586" w:rsidRPr="00AF318A">
              <w:rPr>
                <w:rFonts w:ascii="標楷體" w:eastAsia="標楷體" w:hAnsi="標楷體" w:hint="eastAsia"/>
                <w:snapToGrid w:val="0"/>
                <w:kern w:val="0"/>
                <w:szCs w:val="24"/>
              </w:rPr>
              <w:t>。</w:t>
            </w:r>
          </w:p>
        </w:tc>
        <w:tc>
          <w:tcPr>
            <w:tcW w:w="4741" w:type="dxa"/>
          </w:tcPr>
          <w:p w:rsidR="00D917A8" w:rsidRPr="00AF318A" w:rsidRDefault="00EE1CAB" w:rsidP="002F1702">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非本會主管業務</w:t>
            </w:r>
            <w:r w:rsidR="00224C74" w:rsidRPr="00AF318A">
              <w:rPr>
                <w:rFonts w:ascii="標楷體" w:eastAsia="標楷體" w:hAnsi="標楷體" w:hint="eastAsia"/>
                <w:snapToGrid w:val="0"/>
                <w:kern w:val="0"/>
                <w:szCs w:val="24"/>
              </w:rPr>
              <w:t>。</w:t>
            </w:r>
          </w:p>
        </w:tc>
      </w:tr>
      <w:tr w:rsidR="00AF318A" w:rsidRPr="00AF318A" w:rsidTr="00593EED">
        <w:trPr>
          <w:trHeight w:val="559"/>
        </w:trPr>
        <w:tc>
          <w:tcPr>
            <w:tcW w:w="1167" w:type="dxa"/>
          </w:tcPr>
          <w:p w:rsidR="00D917A8" w:rsidRPr="00AF318A" w:rsidRDefault="00D917A8" w:rsidP="002F1702">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AF318A">
              <w:rPr>
                <w:rFonts w:ascii="標楷體" w:eastAsia="標楷體" w:hAnsi="標楷體"/>
                <w:snapToGrid w:val="0"/>
                <w:sz w:val="24"/>
                <w:szCs w:val="24"/>
              </w:rPr>
              <w:t>(</w:t>
            </w:r>
            <w:r w:rsidRPr="00AF318A">
              <w:rPr>
                <w:rFonts w:ascii="標楷體" w:eastAsia="標楷體" w:hAnsi="標楷體" w:hint="eastAsia"/>
                <w:snapToGrid w:val="0"/>
                <w:sz w:val="24"/>
                <w:szCs w:val="24"/>
              </w:rPr>
              <w:t>四</w:t>
            </w:r>
            <w:r w:rsidRPr="00AF318A">
              <w:rPr>
                <w:rFonts w:ascii="標楷體" w:eastAsia="標楷體" w:hAnsi="標楷體"/>
                <w:snapToGrid w:val="0"/>
                <w:sz w:val="24"/>
                <w:szCs w:val="24"/>
              </w:rPr>
              <w:t>)</w:t>
            </w:r>
          </w:p>
        </w:tc>
        <w:tc>
          <w:tcPr>
            <w:tcW w:w="4473" w:type="dxa"/>
            <w:shd w:val="clear" w:color="auto" w:fill="auto"/>
          </w:tcPr>
          <w:p w:rsidR="00DD01B4" w:rsidRPr="00AF318A" w:rsidRDefault="008139AD" w:rsidP="003F4840">
            <w:pPr>
              <w:autoSpaceDE w:val="0"/>
              <w:autoSpaceDN w:val="0"/>
              <w:adjustRightInd w:val="0"/>
              <w:spacing w:line="340" w:lineRule="exact"/>
              <w:ind w:leftChars="20" w:left="48" w:rightChars="20" w:right="48"/>
              <w:jc w:val="both"/>
              <w:rPr>
                <w:rFonts w:ascii="標楷體" w:eastAsia="標楷體" w:hAnsi="標楷體"/>
                <w:snapToGrid w:val="0"/>
                <w:kern w:val="0"/>
                <w:szCs w:val="24"/>
              </w:rPr>
            </w:pPr>
            <w:r>
              <w:rPr>
                <w:rFonts w:ascii="標楷體" w:eastAsia="標楷體" w:hAnsi="標楷體" w:hint="eastAsia"/>
                <w:snapToGrid w:val="0"/>
                <w:kern w:val="0"/>
                <w:szCs w:val="24"/>
              </w:rPr>
              <w:t>111</w:t>
            </w:r>
            <w:r w:rsidR="00A52C36" w:rsidRPr="00AF318A">
              <w:rPr>
                <w:rFonts w:ascii="標楷體" w:eastAsia="標楷體" w:hAnsi="標楷體" w:hint="eastAsia"/>
                <w:snapToGrid w:val="0"/>
                <w:kern w:val="0"/>
                <w:szCs w:val="24"/>
              </w:rPr>
              <w:t>年度中央政府總預算案修正案預計自</w:t>
            </w:r>
            <w:r w:rsidR="00B11DD9" w:rsidRPr="00AF318A">
              <w:rPr>
                <w:rFonts w:ascii="標楷體" w:eastAsia="標楷體" w:hAnsi="標楷體" w:hint="eastAsia"/>
                <w:snapToGrid w:val="0"/>
                <w:kern w:val="0"/>
                <w:szCs w:val="24"/>
              </w:rPr>
              <w:t>111</w:t>
            </w:r>
            <w:r w:rsidR="00A52C36" w:rsidRPr="00AF318A">
              <w:rPr>
                <w:rFonts w:ascii="標楷體" w:eastAsia="標楷體" w:hAnsi="標楷體" w:hint="eastAsia"/>
                <w:snapToGrid w:val="0"/>
                <w:kern w:val="0"/>
                <w:szCs w:val="24"/>
              </w:rPr>
              <w:t>年</w:t>
            </w:r>
            <w:r w:rsidR="00B11DD9" w:rsidRPr="00AF318A">
              <w:rPr>
                <w:rFonts w:ascii="標楷體" w:eastAsia="標楷體" w:hAnsi="標楷體" w:hint="eastAsia"/>
                <w:snapToGrid w:val="0"/>
                <w:kern w:val="0"/>
                <w:szCs w:val="24"/>
              </w:rPr>
              <w:t>1</w:t>
            </w:r>
            <w:r w:rsidR="00A52C36" w:rsidRPr="00AF318A">
              <w:rPr>
                <w:rFonts w:ascii="標楷體" w:eastAsia="標楷體" w:hAnsi="標楷體" w:hint="eastAsia"/>
                <w:snapToGrid w:val="0"/>
                <w:kern w:val="0"/>
                <w:szCs w:val="24"/>
              </w:rPr>
              <w:t>月</w:t>
            </w:r>
            <w:r w:rsidR="00B11DD9" w:rsidRPr="00AF318A">
              <w:rPr>
                <w:rFonts w:ascii="標楷體" w:eastAsia="標楷體" w:hAnsi="標楷體" w:hint="eastAsia"/>
                <w:snapToGrid w:val="0"/>
                <w:kern w:val="0"/>
                <w:szCs w:val="24"/>
              </w:rPr>
              <w:t>1</w:t>
            </w:r>
            <w:r w:rsidR="00A52C36" w:rsidRPr="00AF318A">
              <w:rPr>
                <w:rFonts w:ascii="標楷體" w:eastAsia="標楷體" w:hAnsi="標楷體" w:hint="eastAsia"/>
                <w:snapToGrid w:val="0"/>
                <w:kern w:val="0"/>
                <w:szCs w:val="24"/>
              </w:rPr>
              <w:t>日起調增軍公教人員待遇4%，係依行政院</w:t>
            </w:r>
            <w:r>
              <w:rPr>
                <w:rFonts w:ascii="標楷體" w:eastAsia="標楷體" w:hAnsi="標楷體" w:hint="eastAsia"/>
                <w:snapToGrid w:val="0"/>
                <w:kern w:val="0"/>
                <w:szCs w:val="24"/>
              </w:rPr>
              <w:t>110</w:t>
            </w:r>
            <w:r w:rsidR="00A52C36" w:rsidRPr="00AF318A">
              <w:rPr>
                <w:rFonts w:ascii="標楷體" w:eastAsia="標楷體" w:hAnsi="標楷體" w:hint="eastAsia"/>
                <w:snapToGrid w:val="0"/>
                <w:kern w:val="0"/>
                <w:szCs w:val="24"/>
              </w:rPr>
              <w:t>年</w:t>
            </w:r>
            <w:r>
              <w:rPr>
                <w:rFonts w:ascii="標楷體" w:eastAsia="標楷體" w:hAnsi="標楷體" w:hint="eastAsia"/>
                <w:snapToGrid w:val="0"/>
                <w:kern w:val="0"/>
                <w:szCs w:val="24"/>
              </w:rPr>
              <w:t>10</w:t>
            </w:r>
            <w:r w:rsidR="00A52C36" w:rsidRPr="00AF318A">
              <w:rPr>
                <w:rFonts w:ascii="標楷體" w:eastAsia="標楷體" w:hAnsi="標楷體" w:hint="eastAsia"/>
                <w:snapToGrid w:val="0"/>
                <w:kern w:val="0"/>
                <w:szCs w:val="24"/>
              </w:rPr>
              <w:t>月</w:t>
            </w:r>
            <w:r>
              <w:rPr>
                <w:rFonts w:ascii="標楷體" w:eastAsia="標楷體" w:hAnsi="標楷體" w:hint="eastAsia"/>
                <w:snapToGrid w:val="0"/>
                <w:kern w:val="0"/>
                <w:szCs w:val="24"/>
              </w:rPr>
              <w:t>28</w:t>
            </w:r>
            <w:r w:rsidR="00A52C36" w:rsidRPr="00AF318A">
              <w:rPr>
                <w:rFonts w:ascii="標楷體" w:eastAsia="標楷體" w:hAnsi="標楷體" w:hint="eastAsia"/>
                <w:snapToGrid w:val="0"/>
                <w:kern w:val="0"/>
                <w:szCs w:val="24"/>
              </w:rPr>
              <w:t>日發布「蘇揆：與全民共享經濟成果亦盼帶動民間企業調薪」新聞稿說明略以：「……在臺灣經濟創11 年來新高且稅收增加的情況下，為了讓全民共享經濟成長的果實，因此政院今天通過自明（111）年</w:t>
            </w:r>
            <w:r>
              <w:rPr>
                <w:rFonts w:ascii="標楷體" w:eastAsia="標楷體" w:hAnsi="標楷體" w:hint="eastAsia"/>
                <w:snapToGrid w:val="0"/>
                <w:kern w:val="0"/>
                <w:szCs w:val="24"/>
              </w:rPr>
              <w:t>1</w:t>
            </w:r>
            <w:r w:rsidR="00A52C36" w:rsidRPr="00AF318A">
              <w:rPr>
                <w:rFonts w:ascii="標楷體" w:eastAsia="標楷體" w:hAnsi="標楷體" w:hint="eastAsia"/>
                <w:snapToGrid w:val="0"/>
                <w:kern w:val="0"/>
                <w:szCs w:val="24"/>
              </w:rPr>
              <w:t>月</w:t>
            </w:r>
            <w:r>
              <w:rPr>
                <w:rFonts w:ascii="標楷體" w:eastAsia="標楷體" w:hAnsi="標楷體" w:hint="eastAsia"/>
                <w:snapToGrid w:val="0"/>
                <w:kern w:val="0"/>
                <w:szCs w:val="24"/>
              </w:rPr>
              <w:t>1</w:t>
            </w:r>
            <w:r w:rsidR="00A52C36" w:rsidRPr="00AF318A">
              <w:rPr>
                <w:rFonts w:ascii="標楷體" w:eastAsia="標楷體" w:hAnsi="標楷體" w:hint="eastAsia"/>
                <w:snapToGrid w:val="0"/>
                <w:kern w:val="0"/>
                <w:szCs w:val="24"/>
              </w:rPr>
              <w:t>日起，全體軍公教人員調薪4%，是</w:t>
            </w:r>
            <w:r>
              <w:rPr>
                <w:rFonts w:ascii="標楷體" w:eastAsia="標楷體" w:hAnsi="標楷體" w:hint="eastAsia"/>
                <w:snapToGrid w:val="0"/>
                <w:kern w:val="0"/>
                <w:szCs w:val="24"/>
              </w:rPr>
              <w:t>25</w:t>
            </w:r>
            <w:r w:rsidR="00A52C36" w:rsidRPr="00AF318A">
              <w:rPr>
                <w:rFonts w:ascii="標楷體" w:eastAsia="標楷體" w:hAnsi="標楷體" w:hint="eastAsia"/>
                <w:snapToGrid w:val="0"/>
                <w:kern w:val="0"/>
                <w:szCs w:val="24"/>
              </w:rPr>
              <w:t>年來最高調幅，希望藉此進一步帶動民間企業調薪。」惟前一次（107 年度）軍公教人員調薪3%，竟發生高階公務人員調薪高達7%。茲為確保基層軍公教人員調薪4%，111年度軍公教人員調薪應一律採調薪4%</w:t>
            </w:r>
            <w:r w:rsidR="000F5586" w:rsidRPr="00AF318A">
              <w:rPr>
                <w:rFonts w:ascii="標楷體" w:eastAsia="標楷體" w:hAnsi="標楷體" w:hint="eastAsia"/>
                <w:snapToGrid w:val="0"/>
                <w:kern w:val="0"/>
                <w:szCs w:val="24"/>
              </w:rPr>
              <w:t>。</w:t>
            </w:r>
          </w:p>
        </w:tc>
        <w:tc>
          <w:tcPr>
            <w:tcW w:w="4741" w:type="dxa"/>
          </w:tcPr>
          <w:p w:rsidR="00D917A8" w:rsidRPr="00AF318A" w:rsidRDefault="00B11DD9" w:rsidP="002F1702">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遵照辦理</w:t>
            </w:r>
            <w:r w:rsidR="00224C74" w:rsidRPr="00AF318A">
              <w:rPr>
                <w:rFonts w:ascii="標楷體" w:eastAsia="標楷體" w:hAnsi="標楷體" w:hint="eastAsia"/>
                <w:snapToGrid w:val="0"/>
                <w:kern w:val="0"/>
                <w:szCs w:val="24"/>
              </w:rPr>
              <w:t>。</w:t>
            </w:r>
          </w:p>
        </w:tc>
      </w:tr>
      <w:tr w:rsidR="00AF318A" w:rsidRPr="00AF318A" w:rsidTr="00E8595E">
        <w:trPr>
          <w:trHeight w:val="727"/>
        </w:trPr>
        <w:tc>
          <w:tcPr>
            <w:tcW w:w="1167" w:type="dxa"/>
          </w:tcPr>
          <w:p w:rsidR="00D917A8" w:rsidRPr="00AF318A" w:rsidRDefault="00D917A8" w:rsidP="002F1702">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AF318A">
              <w:rPr>
                <w:rFonts w:ascii="標楷體" w:eastAsia="標楷體" w:hAnsi="標楷體"/>
                <w:snapToGrid w:val="0"/>
                <w:sz w:val="24"/>
                <w:szCs w:val="24"/>
              </w:rPr>
              <w:t>(</w:t>
            </w:r>
            <w:r w:rsidRPr="00AF318A">
              <w:rPr>
                <w:rFonts w:ascii="標楷體" w:eastAsia="標楷體" w:hAnsi="標楷體" w:hint="eastAsia"/>
                <w:snapToGrid w:val="0"/>
                <w:sz w:val="24"/>
                <w:szCs w:val="24"/>
              </w:rPr>
              <w:t>五</w:t>
            </w:r>
            <w:r w:rsidRPr="00AF318A">
              <w:rPr>
                <w:rFonts w:ascii="標楷體" w:eastAsia="標楷體" w:hAnsi="標楷體"/>
                <w:snapToGrid w:val="0"/>
                <w:sz w:val="24"/>
                <w:szCs w:val="24"/>
              </w:rPr>
              <w:t>)</w:t>
            </w:r>
          </w:p>
        </w:tc>
        <w:tc>
          <w:tcPr>
            <w:tcW w:w="4473" w:type="dxa"/>
            <w:shd w:val="clear" w:color="auto" w:fill="auto"/>
          </w:tcPr>
          <w:p w:rsidR="00DD01B4" w:rsidRPr="00AF318A" w:rsidRDefault="00B46FD4" w:rsidP="00E8595E">
            <w:pPr>
              <w:autoSpaceDE w:val="0"/>
              <w:autoSpaceDN w:val="0"/>
              <w:adjustRightInd w:val="0"/>
              <w:spacing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依照立法院</w:t>
            </w:r>
            <w:r w:rsidR="008139AD">
              <w:rPr>
                <w:rFonts w:ascii="標楷體" w:eastAsia="標楷體" w:hAnsi="標楷體" w:hint="eastAsia"/>
                <w:snapToGrid w:val="0"/>
                <w:kern w:val="0"/>
                <w:szCs w:val="24"/>
              </w:rPr>
              <w:t>110</w:t>
            </w:r>
            <w:r w:rsidRPr="00AF318A">
              <w:rPr>
                <w:rFonts w:ascii="標楷體" w:eastAsia="標楷體" w:hAnsi="標楷體" w:hint="eastAsia"/>
                <w:snapToGrid w:val="0"/>
                <w:kern w:val="0"/>
                <w:szCs w:val="24"/>
              </w:rPr>
              <w:t>年</w:t>
            </w:r>
            <w:r w:rsidR="008139AD">
              <w:rPr>
                <w:rFonts w:ascii="標楷體" w:eastAsia="標楷體" w:hAnsi="標楷體" w:hint="eastAsia"/>
                <w:snapToGrid w:val="0"/>
                <w:kern w:val="0"/>
                <w:szCs w:val="24"/>
              </w:rPr>
              <w:t>12</w:t>
            </w:r>
            <w:r w:rsidRPr="00AF318A">
              <w:rPr>
                <w:rFonts w:ascii="標楷體" w:eastAsia="標楷體" w:hAnsi="標楷體" w:hint="eastAsia"/>
                <w:snapToGrid w:val="0"/>
                <w:kern w:val="0"/>
                <w:szCs w:val="24"/>
              </w:rPr>
              <w:t>月</w:t>
            </w:r>
            <w:r w:rsidR="008139AD">
              <w:rPr>
                <w:rFonts w:ascii="標楷體" w:eastAsia="標楷體" w:hAnsi="標楷體" w:hint="eastAsia"/>
                <w:snapToGrid w:val="0"/>
                <w:kern w:val="0"/>
                <w:szCs w:val="24"/>
              </w:rPr>
              <w:t>24</w:t>
            </w:r>
            <w:r w:rsidRPr="00AF318A">
              <w:rPr>
                <w:rFonts w:ascii="標楷體" w:eastAsia="標楷體" w:hAnsi="標楷體" w:hint="eastAsia"/>
                <w:snapToGrid w:val="0"/>
                <w:kern w:val="0"/>
                <w:szCs w:val="24"/>
              </w:rPr>
              <w:t>日各黨團朝野協商的共識，各黨團同意</w:t>
            </w:r>
            <w:r w:rsidR="008139AD">
              <w:rPr>
                <w:rFonts w:ascii="標楷體" w:eastAsia="標楷體" w:hAnsi="標楷體" w:hint="eastAsia"/>
                <w:snapToGrid w:val="0"/>
                <w:kern w:val="0"/>
                <w:szCs w:val="24"/>
              </w:rPr>
              <w:t>111</w:t>
            </w:r>
            <w:r w:rsidRPr="00AF318A">
              <w:rPr>
                <w:rFonts w:ascii="標楷體" w:eastAsia="標楷體" w:hAnsi="標楷體" w:hint="eastAsia"/>
                <w:snapToGrid w:val="0"/>
                <w:kern w:val="0"/>
                <w:szCs w:val="24"/>
              </w:rPr>
              <w:t>年度中央政府總預算案（公務預算部分），至遲於</w:t>
            </w:r>
            <w:r w:rsidR="008139AD">
              <w:rPr>
                <w:rFonts w:ascii="標楷體" w:eastAsia="標楷體" w:hAnsi="標楷體" w:hint="eastAsia"/>
                <w:snapToGrid w:val="0"/>
                <w:kern w:val="0"/>
                <w:szCs w:val="24"/>
              </w:rPr>
              <w:t>111</w:t>
            </w:r>
            <w:r w:rsidRPr="00AF318A">
              <w:rPr>
                <w:rFonts w:ascii="標楷體" w:eastAsia="標楷體" w:hAnsi="標楷體" w:hint="eastAsia"/>
                <w:snapToGrid w:val="0"/>
                <w:kern w:val="0"/>
                <w:szCs w:val="24"/>
              </w:rPr>
              <w:t>年</w:t>
            </w:r>
            <w:r w:rsidR="008139AD">
              <w:rPr>
                <w:rFonts w:ascii="標楷體" w:eastAsia="標楷體" w:hAnsi="標楷體" w:hint="eastAsia"/>
                <w:snapToGrid w:val="0"/>
                <w:kern w:val="0"/>
                <w:szCs w:val="24"/>
              </w:rPr>
              <w:t>1</w:t>
            </w:r>
            <w:r w:rsidRPr="00AF318A">
              <w:rPr>
                <w:rFonts w:ascii="標楷體" w:eastAsia="標楷體" w:hAnsi="標楷體" w:hint="eastAsia"/>
                <w:snapToGrid w:val="0"/>
                <w:kern w:val="0"/>
                <w:szCs w:val="24"/>
              </w:rPr>
              <w:t>月</w:t>
            </w:r>
            <w:r w:rsidR="008139AD">
              <w:rPr>
                <w:rFonts w:ascii="標楷體" w:eastAsia="標楷體" w:hAnsi="標楷體" w:hint="eastAsia"/>
                <w:snapToGrid w:val="0"/>
                <w:kern w:val="0"/>
                <w:szCs w:val="24"/>
              </w:rPr>
              <w:t>28</w:t>
            </w:r>
            <w:r w:rsidRPr="00AF318A">
              <w:rPr>
                <w:rFonts w:ascii="標楷體" w:eastAsia="標楷體" w:hAnsi="標楷體" w:hint="eastAsia"/>
                <w:snapToGrid w:val="0"/>
                <w:kern w:val="0"/>
                <w:szCs w:val="24"/>
              </w:rPr>
              <w:t>日以前完成三讀程序，並不提出復議。</w:t>
            </w:r>
            <w:r w:rsidRPr="00AF318A">
              <w:rPr>
                <w:rFonts w:ascii="標楷體" w:eastAsia="標楷體" w:hAnsi="標楷體" w:hint="eastAsia"/>
                <w:snapToGrid w:val="0"/>
                <w:kern w:val="0"/>
                <w:szCs w:val="24"/>
              </w:rPr>
              <w:lastRenderedPageBreak/>
              <w:t>而</w:t>
            </w:r>
            <w:r w:rsidR="008139AD">
              <w:rPr>
                <w:rFonts w:ascii="標楷體" w:eastAsia="標楷體" w:hAnsi="標楷體" w:hint="eastAsia"/>
                <w:snapToGrid w:val="0"/>
                <w:kern w:val="0"/>
                <w:szCs w:val="24"/>
              </w:rPr>
              <w:t>111</w:t>
            </w:r>
            <w:r w:rsidRPr="00AF318A">
              <w:rPr>
                <w:rFonts w:ascii="標楷體" w:eastAsia="標楷體" w:hAnsi="標楷體" w:hint="eastAsia"/>
                <w:snapToGrid w:val="0"/>
                <w:kern w:val="0"/>
                <w:szCs w:val="24"/>
              </w:rPr>
              <w:t>年度中央政府總預算案中，其中包含調整軍公教人員薪資待遇（中央政府部分</w:t>
            </w:r>
            <w:r w:rsidR="008139AD">
              <w:rPr>
                <w:rFonts w:ascii="標楷體" w:eastAsia="標楷體" w:hAnsi="標楷體" w:hint="eastAsia"/>
                <w:snapToGrid w:val="0"/>
                <w:kern w:val="0"/>
                <w:szCs w:val="24"/>
              </w:rPr>
              <w:t>163</w:t>
            </w:r>
            <w:r w:rsidRPr="00AF318A">
              <w:rPr>
                <w:rFonts w:ascii="標楷體" w:eastAsia="標楷體" w:hAnsi="標楷體" w:hint="eastAsia"/>
                <w:snapToGrid w:val="0"/>
                <w:kern w:val="0"/>
                <w:szCs w:val="24"/>
              </w:rPr>
              <w:t>億元）、受雇勞工育嬰留職停薪津貼加給補助（</w:t>
            </w:r>
            <w:r w:rsidR="008139AD">
              <w:rPr>
                <w:rFonts w:ascii="標楷體" w:eastAsia="標楷體" w:hAnsi="標楷體" w:hint="eastAsia"/>
                <w:snapToGrid w:val="0"/>
                <w:kern w:val="0"/>
                <w:szCs w:val="24"/>
              </w:rPr>
              <w:t>47.89</w:t>
            </w:r>
            <w:r w:rsidRPr="00AF318A">
              <w:rPr>
                <w:rFonts w:ascii="標楷體" w:eastAsia="標楷體" w:hAnsi="標楷體" w:hint="eastAsia"/>
                <w:snapToGrid w:val="0"/>
                <w:kern w:val="0"/>
                <w:szCs w:val="24"/>
              </w:rPr>
              <w:t>億元）、辦理產檢假薪資補助（</w:t>
            </w:r>
            <w:r w:rsidR="008139AD">
              <w:rPr>
                <w:rFonts w:ascii="標楷體" w:eastAsia="標楷體" w:hAnsi="標楷體" w:hint="eastAsia"/>
                <w:snapToGrid w:val="0"/>
                <w:kern w:val="0"/>
                <w:szCs w:val="24"/>
              </w:rPr>
              <w:t>3.62</w:t>
            </w:r>
            <w:r w:rsidRPr="00AF318A">
              <w:rPr>
                <w:rFonts w:ascii="標楷體" w:eastAsia="標楷體" w:hAnsi="標楷體" w:hint="eastAsia"/>
                <w:snapToGrid w:val="0"/>
                <w:kern w:val="0"/>
                <w:szCs w:val="24"/>
              </w:rPr>
              <w:t>億元）等新增計畫，因總預算案三讀日期與春節連續假期相當接近，請行政院人事行政總處、行政院主計總處、財政部國庫署及相關部會，預先各自主管法規及行政作業提前準備（例如：全國軍公教員工待遇支給要點、中央政府總預算統籌科目經費核定動支數額通知單及各機關付款憑單等），以利各項發放作業順利</w:t>
            </w:r>
            <w:r w:rsidR="000F5586" w:rsidRPr="00AF318A">
              <w:rPr>
                <w:rFonts w:ascii="標楷體" w:eastAsia="標楷體" w:hAnsi="標楷體" w:hint="eastAsia"/>
                <w:snapToGrid w:val="0"/>
                <w:kern w:val="0"/>
                <w:szCs w:val="24"/>
              </w:rPr>
              <w:t>。</w:t>
            </w:r>
          </w:p>
        </w:tc>
        <w:tc>
          <w:tcPr>
            <w:tcW w:w="4741" w:type="dxa"/>
          </w:tcPr>
          <w:p w:rsidR="00D917A8" w:rsidRPr="00AF318A" w:rsidRDefault="003A4CDC" w:rsidP="002F1702">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lastRenderedPageBreak/>
              <w:t>遵照辦理</w:t>
            </w:r>
            <w:r w:rsidR="00224C74" w:rsidRPr="00AF318A">
              <w:rPr>
                <w:rFonts w:ascii="標楷體" w:eastAsia="標楷體" w:hAnsi="標楷體" w:hint="eastAsia"/>
                <w:snapToGrid w:val="0"/>
                <w:kern w:val="0"/>
                <w:szCs w:val="24"/>
              </w:rPr>
              <w:t>。</w:t>
            </w:r>
          </w:p>
        </w:tc>
      </w:tr>
      <w:tr w:rsidR="00AF318A" w:rsidRPr="00AF318A" w:rsidTr="00593EED">
        <w:trPr>
          <w:trHeight w:val="1705"/>
        </w:trPr>
        <w:tc>
          <w:tcPr>
            <w:tcW w:w="1167" w:type="dxa"/>
          </w:tcPr>
          <w:p w:rsidR="00D917A8" w:rsidRPr="00AF318A" w:rsidRDefault="00D917A8" w:rsidP="002F1702">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AF318A">
              <w:rPr>
                <w:rFonts w:ascii="標楷體" w:eastAsia="標楷體" w:hAnsi="標楷體"/>
                <w:snapToGrid w:val="0"/>
                <w:sz w:val="24"/>
                <w:szCs w:val="24"/>
              </w:rPr>
              <w:lastRenderedPageBreak/>
              <w:t>(</w:t>
            </w:r>
            <w:r w:rsidRPr="00AF318A">
              <w:rPr>
                <w:rFonts w:ascii="標楷體" w:eastAsia="標楷體" w:hAnsi="標楷體" w:hint="eastAsia"/>
                <w:snapToGrid w:val="0"/>
                <w:sz w:val="24"/>
                <w:szCs w:val="24"/>
              </w:rPr>
              <w:t>六</w:t>
            </w:r>
            <w:r w:rsidRPr="00AF318A">
              <w:rPr>
                <w:rFonts w:ascii="標楷體" w:eastAsia="標楷體" w:hAnsi="標楷體"/>
                <w:snapToGrid w:val="0"/>
                <w:sz w:val="24"/>
                <w:szCs w:val="24"/>
              </w:rPr>
              <w:t>)</w:t>
            </w:r>
          </w:p>
        </w:tc>
        <w:tc>
          <w:tcPr>
            <w:tcW w:w="4473" w:type="dxa"/>
            <w:shd w:val="clear" w:color="auto" w:fill="auto"/>
          </w:tcPr>
          <w:p w:rsidR="00DD01B4" w:rsidRPr="00AF318A" w:rsidRDefault="00727C36" w:rsidP="00E8595E">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Pr>
                <w:rFonts w:ascii="標楷體" w:eastAsia="標楷體" w:hAnsi="標楷體" w:hint="eastAsia"/>
                <w:snapToGrid w:val="0"/>
                <w:kern w:val="0"/>
                <w:szCs w:val="24"/>
              </w:rPr>
              <w:t>2020</w:t>
            </w:r>
            <w:r w:rsidR="00CE5940" w:rsidRPr="00AF318A">
              <w:rPr>
                <w:rFonts w:ascii="標楷體" w:eastAsia="標楷體" w:hAnsi="標楷體" w:hint="eastAsia"/>
                <w:snapToGrid w:val="0"/>
                <w:kern w:val="0"/>
                <w:szCs w:val="24"/>
              </w:rPr>
              <w:t>東京奧運我國代表團於</w:t>
            </w:r>
            <w:r>
              <w:rPr>
                <w:rFonts w:ascii="標楷體" w:eastAsia="標楷體" w:hAnsi="標楷體" w:hint="eastAsia"/>
                <w:snapToGrid w:val="0"/>
                <w:kern w:val="0"/>
                <w:szCs w:val="24"/>
              </w:rPr>
              <w:t>110</w:t>
            </w:r>
            <w:r w:rsidR="00CE5940" w:rsidRPr="00AF318A">
              <w:rPr>
                <w:rFonts w:ascii="標楷體" w:eastAsia="標楷體" w:hAnsi="標楷體" w:hint="eastAsia"/>
                <w:snapToGrid w:val="0"/>
                <w:kern w:val="0"/>
                <w:szCs w:val="24"/>
              </w:rPr>
              <w:t>年</w:t>
            </w:r>
            <w:r>
              <w:rPr>
                <w:rFonts w:ascii="標楷體" w:eastAsia="標楷體" w:hAnsi="標楷體" w:hint="eastAsia"/>
                <w:snapToGrid w:val="0"/>
                <w:kern w:val="0"/>
                <w:szCs w:val="24"/>
              </w:rPr>
              <w:t>7</w:t>
            </w:r>
            <w:r w:rsidR="00CE5940" w:rsidRPr="00AF318A">
              <w:rPr>
                <w:rFonts w:ascii="標楷體" w:eastAsia="標楷體" w:hAnsi="標楷體" w:hint="eastAsia"/>
                <w:snapToGrid w:val="0"/>
                <w:kern w:val="0"/>
                <w:szCs w:val="24"/>
              </w:rPr>
              <w:t>月</w:t>
            </w:r>
            <w:r>
              <w:rPr>
                <w:rFonts w:ascii="標楷體" w:eastAsia="標楷體" w:hAnsi="標楷體" w:hint="eastAsia"/>
                <w:snapToGrid w:val="0"/>
                <w:kern w:val="0"/>
                <w:szCs w:val="24"/>
              </w:rPr>
              <w:t>19</w:t>
            </w:r>
            <w:r w:rsidR="00CE5940" w:rsidRPr="00AF318A">
              <w:rPr>
                <w:rFonts w:ascii="標楷體" w:eastAsia="標楷體" w:hAnsi="標楷體" w:hint="eastAsia"/>
                <w:snapToGrid w:val="0"/>
                <w:kern w:val="0"/>
                <w:szCs w:val="24"/>
              </w:rPr>
              <w:t>日搭中華航空公司包機出國，選手被安排搭經濟艙，相關行政人員卻搭乘商務艙，引發國人譁然。依現行國外出差旅費報支要點規定，部長級人員、特使，得乘坐頭等座（艙）位。次長級人員、大使、駐外代表、公使、其他特任（派）人員、簡任第十二職等以上領有各該職等全額主管加給人員，得乘坐商務或相當之座（艙）位。但次長級人員負有外交任務代表政府出訪或參加重要國際會議，得乘坐頭等座（艙）位。其餘人員乘坐經濟（標準）座（艙）位。鑑於國家財政困窘，行政院應鼓勵公務人員應以身作則，本節約原則之支用經費，爰應請行政院於1個月內就搭乘旅途遠近，及實際情形檢討現行國外出差旅費報支要點規定，以符社會之期待</w:t>
            </w:r>
            <w:r w:rsidR="000F5586" w:rsidRPr="00AF318A">
              <w:rPr>
                <w:rFonts w:ascii="標楷體" w:eastAsia="標楷體" w:hAnsi="標楷體" w:hint="eastAsia"/>
                <w:snapToGrid w:val="0"/>
                <w:kern w:val="0"/>
                <w:szCs w:val="24"/>
              </w:rPr>
              <w:t>。</w:t>
            </w:r>
          </w:p>
        </w:tc>
        <w:tc>
          <w:tcPr>
            <w:tcW w:w="4741" w:type="dxa"/>
          </w:tcPr>
          <w:p w:rsidR="00D917A8" w:rsidRPr="00AF318A" w:rsidRDefault="00FE2AD8" w:rsidP="002F1702">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遵照辦理</w:t>
            </w:r>
            <w:r w:rsidR="00395D27" w:rsidRPr="00AF318A">
              <w:rPr>
                <w:rFonts w:ascii="標楷體" w:eastAsia="標楷體" w:hAnsi="標楷體" w:hint="eastAsia"/>
                <w:snapToGrid w:val="0"/>
                <w:kern w:val="0"/>
                <w:szCs w:val="24"/>
              </w:rPr>
              <w:t>。</w:t>
            </w:r>
          </w:p>
        </w:tc>
      </w:tr>
      <w:tr w:rsidR="00AF318A" w:rsidRPr="00AF318A" w:rsidTr="00593EED">
        <w:trPr>
          <w:trHeight w:val="549"/>
        </w:trPr>
        <w:tc>
          <w:tcPr>
            <w:tcW w:w="1167" w:type="dxa"/>
          </w:tcPr>
          <w:p w:rsidR="00D917A8" w:rsidRPr="00AF318A" w:rsidRDefault="00D917A8" w:rsidP="002F1702">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AF318A">
              <w:rPr>
                <w:rFonts w:ascii="標楷體" w:eastAsia="標楷體" w:hAnsi="標楷體"/>
                <w:snapToGrid w:val="0"/>
                <w:sz w:val="24"/>
                <w:szCs w:val="24"/>
              </w:rPr>
              <w:t>(</w:t>
            </w:r>
            <w:r w:rsidRPr="00AF318A">
              <w:rPr>
                <w:rFonts w:ascii="標楷體" w:eastAsia="標楷體" w:hAnsi="標楷體" w:hint="eastAsia"/>
                <w:snapToGrid w:val="0"/>
                <w:sz w:val="24"/>
                <w:szCs w:val="24"/>
              </w:rPr>
              <w:t>七</w:t>
            </w:r>
            <w:r w:rsidRPr="00AF318A">
              <w:rPr>
                <w:rFonts w:ascii="標楷體" w:eastAsia="標楷體" w:hAnsi="標楷體"/>
                <w:snapToGrid w:val="0"/>
                <w:sz w:val="24"/>
                <w:szCs w:val="24"/>
              </w:rPr>
              <w:t>)</w:t>
            </w:r>
          </w:p>
        </w:tc>
        <w:tc>
          <w:tcPr>
            <w:tcW w:w="4473" w:type="dxa"/>
            <w:shd w:val="clear" w:color="auto" w:fill="auto"/>
          </w:tcPr>
          <w:p w:rsidR="00DD01B4" w:rsidRPr="00AF318A" w:rsidRDefault="009133DC" w:rsidP="009133DC">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有鑑於農藥生產及使用，所衍生環境汙染及農藥殘留諸多問題，嚴重威脅生態環境與人類健康，聯合國於</w:t>
            </w:r>
            <w:r w:rsidR="00727C36">
              <w:rPr>
                <w:rFonts w:ascii="標楷體" w:eastAsia="標楷體" w:hAnsi="標楷體" w:hint="eastAsia"/>
                <w:snapToGrid w:val="0"/>
                <w:kern w:val="0"/>
                <w:szCs w:val="24"/>
              </w:rPr>
              <w:t>2017</w:t>
            </w:r>
            <w:r w:rsidRPr="00AF318A">
              <w:rPr>
                <w:rFonts w:ascii="標楷體" w:eastAsia="標楷體" w:hAnsi="標楷體" w:hint="eastAsia"/>
                <w:snapToGrid w:val="0"/>
                <w:kern w:val="0"/>
                <w:szCs w:val="24"/>
              </w:rPr>
              <w:t>年</w:t>
            </w:r>
            <w:r w:rsidR="00727C36">
              <w:rPr>
                <w:rFonts w:ascii="標楷體" w:eastAsia="標楷體" w:hAnsi="標楷體" w:hint="eastAsia"/>
                <w:snapToGrid w:val="0"/>
                <w:kern w:val="0"/>
                <w:szCs w:val="24"/>
              </w:rPr>
              <w:t>1</w:t>
            </w:r>
            <w:r w:rsidRPr="00AF318A">
              <w:rPr>
                <w:rFonts w:ascii="標楷體" w:eastAsia="標楷體" w:hAnsi="標楷體" w:hint="eastAsia"/>
                <w:snapToGrid w:val="0"/>
                <w:kern w:val="0"/>
                <w:szCs w:val="24"/>
              </w:rPr>
              <w:t>月</w:t>
            </w:r>
            <w:r w:rsidR="00727C36">
              <w:rPr>
                <w:rFonts w:ascii="標楷體" w:eastAsia="標楷體" w:hAnsi="標楷體" w:hint="eastAsia"/>
                <w:snapToGrid w:val="0"/>
                <w:kern w:val="0"/>
                <w:szCs w:val="24"/>
              </w:rPr>
              <w:t>24</w:t>
            </w:r>
            <w:r w:rsidRPr="00AF318A">
              <w:rPr>
                <w:rFonts w:ascii="標楷體" w:eastAsia="標楷體" w:hAnsi="標楷體" w:hint="eastAsia"/>
                <w:snapToGrid w:val="0"/>
                <w:kern w:val="0"/>
                <w:szCs w:val="24"/>
              </w:rPr>
              <w:t>日發表食物權問題特別報告（Report of the Special Rapporteur on the right to food），報告中強調免於農藥毒害，為人類應有之基本人權，並將之列入第34 屆人權理事會議議程。指出農藥長期累積之毒</w:t>
            </w:r>
            <w:r w:rsidRPr="00AF318A">
              <w:rPr>
                <w:rFonts w:ascii="標楷體" w:eastAsia="標楷體" w:hAnsi="標楷體" w:hint="eastAsia"/>
                <w:snapToGrid w:val="0"/>
                <w:kern w:val="0"/>
                <w:szCs w:val="24"/>
              </w:rPr>
              <w:lastRenderedPageBreak/>
              <w:t>素，使得罹患癌症、阿茲海默症、帕金森氏症、內分泌失調、發展失調、基因突變及不孕症等人數與日俱增，世界各國因應減少農藥危害趨勢，紛紛提出相關政策，如歐盟提出為達到農藥永續使用架構（2009/128/EC）指令，要求會員國設置量化目標、對象、方法、時間表、指標等，惟農藥造成環境毒性影響及食物飲水殘留等，與國人健康息息相關，影響甚鉅，爰此，行政院應督導行政院農業委員會、衛生福利部、行政院環境保護署等相關單位正視並整合有關農藥管理制度等跨部會相關系統管理與監測作為及權責分工業務等精進方案，並於</w:t>
            </w:r>
            <w:r w:rsidR="00BF085D">
              <w:rPr>
                <w:rFonts w:ascii="標楷體" w:eastAsia="標楷體" w:hAnsi="標楷體" w:hint="eastAsia"/>
                <w:snapToGrid w:val="0"/>
                <w:kern w:val="0"/>
                <w:szCs w:val="24"/>
              </w:rPr>
              <w:t>3</w:t>
            </w:r>
            <w:r w:rsidRPr="00AF318A">
              <w:rPr>
                <w:rFonts w:ascii="標楷體" w:eastAsia="標楷體" w:hAnsi="標楷體" w:hint="eastAsia"/>
                <w:snapToGrid w:val="0"/>
                <w:kern w:val="0"/>
                <w:szCs w:val="24"/>
              </w:rPr>
              <w:t>個月內向立法院相關委員會提出書面報告</w:t>
            </w:r>
            <w:r w:rsidR="000F5586" w:rsidRPr="00AF318A">
              <w:rPr>
                <w:rFonts w:ascii="標楷體" w:eastAsia="標楷體" w:hAnsi="標楷體" w:hint="eastAsia"/>
                <w:snapToGrid w:val="0"/>
                <w:kern w:val="0"/>
                <w:szCs w:val="24"/>
              </w:rPr>
              <w:t>。</w:t>
            </w:r>
          </w:p>
        </w:tc>
        <w:tc>
          <w:tcPr>
            <w:tcW w:w="4741" w:type="dxa"/>
          </w:tcPr>
          <w:p w:rsidR="00D917A8" w:rsidRPr="00AF318A" w:rsidRDefault="00395D27" w:rsidP="002F1702">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lastRenderedPageBreak/>
              <w:t>非本會主管業務。</w:t>
            </w:r>
          </w:p>
        </w:tc>
      </w:tr>
      <w:tr w:rsidR="00AF318A" w:rsidRPr="00AF318A" w:rsidTr="00593EED">
        <w:trPr>
          <w:trHeight w:val="549"/>
        </w:trPr>
        <w:tc>
          <w:tcPr>
            <w:tcW w:w="1167" w:type="dxa"/>
          </w:tcPr>
          <w:p w:rsidR="00D917A8" w:rsidRPr="00AF318A" w:rsidRDefault="00D917A8" w:rsidP="002F1702">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AF318A">
              <w:rPr>
                <w:rFonts w:ascii="標楷體" w:eastAsia="標楷體" w:hAnsi="標楷體"/>
                <w:snapToGrid w:val="0"/>
                <w:sz w:val="24"/>
                <w:szCs w:val="24"/>
              </w:rPr>
              <w:lastRenderedPageBreak/>
              <w:t>(</w:t>
            </w:r>
            <w:r w:rsidRPr="00AF318A">
              <w:rPr>
                <w:rFonts w:ascii="標楷體" w:eastAsia="標楷體" w:hAnsi="標楷體" w:hint="eastAsia"/>
                <w:snapToGrid w:val="0"/>
                <w:sz w:val="24"/>
                <w:szCs w:val="24"/>
              </w:rPr>
              <w:t>八</w:t>
            </w:r>
            <w:r w:rsidRPr="00AF318A">
              <w:rPr>
                <w:rFonts w:ascii="標楷體" w:eastAsia="標楷體" w:hAnsi="標楷體"/>
                <w:snapToGrid w:val="0"/>
                <w:sz w:val="24"/>
                <w:szCs w:val="24"/>
              </w:rPr>
              <w:t>)</w:t>
            </w:r>
          </w:p>
        </w:tc>
        <w:tc>
          <w:tcPr>
            <w:tcW w:w="4473" w:type="dxa"/>
            <w:shd w:val="clear" w:color="auto" w:fill="auto"/>
          </w:tcPr>
          <w:p w:rsidR="009E3AB5" w:rsidRPr="00AF318A" w:rsidRDefault="009E3AB5" w:rsidP="00C50DA9">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根據內政部警政署統計，除</w:t>
            </w:r>
            <w:r w:rsidR="00BF085D">
              <w:rPr>
                <w:rFonts w:ascii="標楷體" w:eastAsia="標楷體" w:hAnsi="標楷體" w:hint="eastAsia"/>
                <w:snapToGrid w:val="0"/>
                <w:kern w:val="0"/>
                <w:szCs w:val="24"/>
              </w:rPr>
              <w:t>110</w:t>
            </w:r>
            <w:r w:rsidRPr="00AF318A">
              <w:rPr>
                <w:rFonts w:ascii="標楷體" w:eastAsia="標楷體" w:hAnsi="標楷體" w:hint="eastAsia"/>
                <w:snapToGrid w:val="0"/>
                <w:kern w:val="0"/>
                <w:szCs w:val="24"/>
              </w:rPr>
              <w:t>年度因為疫情影響外，自</w:t>
            </w:r>
            <w:r w:rsidR="00BF085D">
              <w:rPr>
                <w:rFonts w:ascii="標楷體" w:eastAsia="標楷體" w:hAnsi="標楷體" w:hint="eastAsia"/>
                <w:snapToGrid w:val="0"/>
                <w:kern w:val="0"/>
                <w:szCs w:val="24"/>
              </w:rPr>
              <w:t>106</w:t>
            </w:r>
            <w:r w:rsidRPr="00AF318A">
              <w:rPr>
                <w:rFonts w:ascii="標楷體" w:eastAsia="標楷體" w:hAnsi="標楷體" w:hint="eastAsia"/>
                <w:snapToGrid w:val="0"/>
                <w:kern w:val="0"/>
                <w:szCs w:val="24"/>
              </w:rPr>
              <w:t>年度起，全國毒品查獲件數、嫌疑犯人數看似減少，但毒品查獲重量卻大幅成長，且居高不下，顯見毒品交易情形日益嚴重。又加上近年來加密虛擬貨幣興起且種類繁多，各有不同的特性，以致於被不法人士拿來做為吸金、毒品交易的支付工具。例如：泰達幣（Tether）又稱USDT，其特性為每一元泰達幣都有一美元擔保，亦即擁有多少泰達幣等同有同價位美元，犯罪者利用此一特性，再透過幣託中心交易虛擬貨幣，即可完成鉅額毒品買賣。由於在幣託中心透過人頭帳戶分多層轉出，即便調查人員也無法完整查出最終的主嫌，許多被利用來做毒品交易的年輕人，被捕落網後雖配合調查供出案情以求減刑，但往往到判決書下來時已被處以私刑失去生命。爰此，請行政院指示相關部會就毒品交易利用上述新興犯罪模式，拿出有效防制作為及加強相關法律規範，並由法務部於</w:t>
            </w:r>
            <w:r w:rsidR="00BF085D">
              <w:rPr>
                <w:rFonts w:ascii="標楷體" w:eastAsia="標楷體" w:hAnsi="標楷體" w:hint="eastAsia"/>
                <w:snapToGrid w:val="0"/>
                <w:kern w:val="0"/>
                <w:szCs w:val="24"/>
              </w:rPr>
              <w:t>6</w:t>
            </w:r>
            <w:r w:rsidRPr="00AF318A">
              <w:rPr>
                <w:rFonts w:ascii="標楷體" w:eastAsia="標楷體" w:hAnsi="標楷體" w:hint="eastAsia"/>
                <w:snapToGrid w:val="0"/>
                <w:kern w:val="0"/>
                <w:szCs w:val="24"/>
              </w:rPr>
              <w:t>個月內向立法院提出相關進度檢討書面報告</w:t>
            </w:r>
            <w:r w:rsidR="000F5586" w:rsidRPr="00AF318A">
              <w:rPr>
                <w:rFonts w:ascii="標楷體" w:eastAsia="標楷體" w:hAnsi="標楷體" w:hint="eastAsia"/>
                <w:snapToGrid w:val="0"/>
                <w:kern w:val="0"/>
                <w:szCs w:val="24"/>
              </w:rPr>
              <w:t>。</w:t>
            </w:r>
          </w:p>
        </w:tc>
        <w:tc>
          <w:tcPr>
            <w:tcW w:w="4741" w:type="dxa"/>
          </w:tcPr>
          <w:p w:rsidR="00D917A8" w:rsidRPr="00AF318A" w:rsidRDefault="00670E87" w:rsidP="002F1702">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非本會主管業務</w:t>
            </w:r>
            <w:r w:rsidR="00395D27" w:rsidRPr="00AF318A">
              <w:rPr>
                <w:rFonts w:ascii="標楷體" w:eastAsia="標楷體" w:hAnsi="標楷體" w:hint="eastAsia"/>
                <w:snapToGrid w:val="0"/>
                <w:kern w:val="0"/>
                <w:szCs w:val="24"/>
              </w:rPr>
              <w:t>。</w:t>
            </w:r>
          </w:p>
        </w:tc>
      </w:tr>
      <w:tr w:rsidR="00AF318A" w:rsidRPr="00AF318A" w:rsidTr="00593EED">
        <w:trPr>
          <w:trHeight w:val="275"/>
        </w:trPr>
        <w:tc>
          <w:tcPr>
            <w:tcW w:w="1167" w:type="dxa"/>
          </w:tcPr>
          <w:p w:rsidR="00D917A8" w:rsidRPr="00AF318A" w:rsidRDefault="00D917A8" w:rsidP="002F1702">
            <w:pPr>
              <w:pStyle w:val="xl36"/>
              <w:widowControl w:val="0"/>
              <w:spacing w:beforeLines="20" w:before="72" w:after="0" w:line="340" w:lineRule="exact"/>
              <w:ind w:leftChars="20" w:left="48" w:rightChars="20" w:right="48"/>
              <w:textAlignment w:val="auto"/>
              <w:rPr>
                <w:rFonts w:ascii="標楷體" w:eastAsia="標楷體" w:hAnsi="標楷體"/>
                <w:snapToGrid w:val="0"/>
                <w:sz w:val="24"/>
                <w:szCs w:val="24"/>
              </w:rPr>
            </w:pPr>
            <w:r w:rsidRPr="00AF318A">
              <w:rPr>
                <w:rFonts w:ascii="標楷體" w:eastAsia="標楷體" w:hAnsi="標楷體"/>
                <w:snapToGrid w:val="0"/>
                <w:sz w:val="24"/>
                <w:szCs w:val="24"/>
              </w:rPr>
              <w:lastRenderedPageBreak/>
              <w:t>(</w:t>
            </w:r>
            <w:r w:rsidRPr="00AF318A">
              <w:rPr>
                <w:rFonts w:ascii="標楷體" w:eastAsia="標楷體" w:hAnsi="標楷體" w:hint="eastAsia"/>
                <w:snapToGrid w:val="0"/>
                <w:sz w:val="24"/>
                <w:szCs w:val="24"/>
              </w:rPr>
              <w:t>九</w:t>
            </w:r>
            <w:r w:rsidRPr="00AF318A">
              <w:rPr>
                <w:rFonts w:ascii="標楷體" w:eastAsia="標楷體" w:hAnsi="標楷體"/>
                <w:snapToGrid w:val="0"/>
                <w:sz w:val="24"/>
                <w:szCs w:val="24"/>
              </w:rPr>
              <w:t>)</w:t>
            </w:r>
          </w:p>
        </w:tc>
        <w:tc>
          <w:tcPr>
            <w:tcW w:w="4473" w:type="dxa"/>
            <w:shd w:val="clear" w:color="auto" w:fill="auto"/>
          </w:tcPr>
          <w:p w:rsidR="00C95DE3" w:rsidRPr="00AF318A" w:rsidRDefault="009E3AB5" w:rsidP="008030DC">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全球加密貨幣總市值已達</w:t>
            </w:r>
            <w:r w:rsidR="00BF085D">
              <w:rPr>
                <w:rFonts w:ascii="標楷體" w:eastAsia="標楷體" w:hAnsi="標楷體" w:hint="eastAsia"/>
                <w:snapToGrid w:val="0"/>
                <w:kern w:val="0"/>
                <w:szCs w:val="24"/>
              </w:rPr>
              <w:t>2</w:t>
            </w:r>
            <w:r w:rsidRPr="00AF318A">
              <w:rPr>
                <w:rFonts w:ascii="標楷體" w:eastAsia="標楷體" w:hAnsi="標楷體" w:hint="eastAsia"/>
                <w:snapToGrid w:val="0"/>
                <w:kern w:val="0"/>
                <w:szCs w:val="24"/>
              </w:rPr>
              <w:t>至</w:t>
            </w:r>
            <w:r w:rsidR="00BF085D">
              <w:rPr>
                <w:rFonts w:ascii="標楷體" w:eastAsia="標楷體" w:hAnsi="標楷體" w:hint="eastAsia"/>
                <w:snapToGrid w:val="0"/>
                <w:kern w:val="0"/>
                <w:szCs w:val="24"/>
              </w:rPr>
              <w:t>3</w:t>
            </w:r>
            <w:r w:rsidRPr="00AF318A">
              <w:rPr>
                <w:rFonts w:ascii="標楷體" w:eastAsia="標楷體" w:hAnsi="標楷體" w:hint="eastAsia"/>
                <w:snapToGrid w:val="0"/>
                <w:kern w:val="0"/>
                <w:szCs w:val="24"/>
              </w:rPr>
              <w:t>兆美元，從</w:t>
            </w:r>
            <w:r w:rsidR="00BF085D">
              <w:rPr>
                <w:rFonts w:ascii="標楷體" w:eastAsia="標楷體" w:hAnsi="標楷體" w:hint="eastAsia"/>
                <w:snapToGrid w:val="0"/>
                <w:kern w:val="0"/>
                <w:szCs w:val="24"/>
              </w:rPr>
              <w:t>2009</w:t>
            </w:r>
            <w:r w:rsidRPr="00AF318A">
              <w:rPr>
                <w:rFonts w:ascii="標楷體" w:eastAsia="標楷體" w:hAnsi="標楷體" w:hint="eastAsia"/>
                <w:snapToGrid w:val="0"/>
                <w:kern w:val="0"/>
                <w:szCs w:val="24"/>
              </w:rPr>
              <w:t>年出現比特幣至今，各類加密貨幣種類眾多可達上千種，然我國至今對於加密貨幣的定義和管理過於保守，僅僅只是洗錢防制法中，將金融監督管理委員會指定為虛擬資產服務業的防洗錢事務的主管機關，而涉及其他業務相關部分（例如發展及交易糾紛），仍然模糊不清。且金融監督管理委員會對於國內設置多少比特幣ATM？是否有法源可以管理？均無法即時掌握。顯見，我國對於加密貨幣的發展及運用，已經大幅落後國際腳步，但終究得面對新興金融帶來的挑戰。金融監督管理委員會對虛擬通貨洗錢防制面所作之因應作為，雖已於</w:t>
            </w:r>
            <w:r w:rsidR="00BF085D">
              <w:rPr>
                <w:rFonts w:ascii="標楷體" w:eastAsia="標楷體" w:hAnsi="標楷體" w:hint="eastAsia"/>
                <w:snapToGrid w:val="0"/>
                <w:kern w:val="0"/>
                <w:szCs w:val="24"/>
              </w:rPr>
              <w:t>110</w:t>
            </w:r>
            <w:r w:rsidRPr="00AF318A">
              <w:rPr>
                <w:rFonts w:ascii="標楷體" w:eastAsia="標楷體" w:hAnsi="標楷體" w:hint="eastAsia"/>
                <w:snapToGrid w:val="0"/>
                <w:kern w:val="0"/>
                <w:szCs w:val="24"/>
              </w:rPr>
              <w:t>年</w:t>
            </w:r>
            <w:r w:rsidR="00BF085D">
              <w:rPr>
                <w:rFonts w:ascii="標楷體" w:eastAsia="標楷體" w:hAnsi="標楷體" w:hint="eastAsia"/>
                <w:snapToGrid w:val="0"/>
                <w:kern w:val="0"/>
                <w:szCs w:val="24"/>
              </w:rPr>
              <w:t>6</w:t>
            </w:r>
            <w:r w:rsidRPr="00AF318A">
              <w:rPr>
                <w:rFonts w:ascii="標楷體" w:eastAsia="標楷體" w:hAnsi="標楷體" w:hint="eastAsia"/>
                <w:snapToGrid w:val="0"/>
                <w:kern w:val="0"/>
                <w:szCs w:val="24"/>
              </w:rPr>
              <w:t>月30日發布虛擬通貨平台及交易業務事業防制洗錢及打擊資恐辦法，並將透過現地及非現地查核，督促本事業落實執行相關措施，惟鑑於虛擬通貨市場之發展迅速，請金融監督管理委員會持續關注國際間對虛擬通貨及其衍生性商品採行之相關監理規範，適時採取相關因應措施，以保護投資人/消費者權益</w:t>
            </w:r>
            <w:r w:rsidR="00475A81" w:rsidRPr="00AF318A">
              <w:rPr>
                <w:rFonts w:ascii="標楷體" w:eastAsia="標楷體" w:hAnsi="標楷體" w:hint="eastAsia"/>
                <w:snapToGrid w:val="0"/>
                <w:kern w:val="0"/>
                <w:szCs w:val="24"/>
              </w:rPr>
              <w:t>。</w:t>
            </w:r>
          </w:p>
        </w:tc>
        <w:tc>
          <w:tcPr>
            <w:tcW w:w="4741" w:type="dxa"/>
          </w:tcPr>
          <w:p w:rsidR="00D917A8" w:rsidRPr="00AF318A" w:rsidRDefault="00395D27" w:rsidP="002F1702">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非本會主管業務。</w:t>
            </w:r>
          </w:p>
        </w:tc>
      </w:tr>
      <w:tr w:rsidR="00AF318A" w:rsidRPr="00AF318A" w:rsidTr="00593EED">
        <w:trPr>
          <w:trHeight w:val="178"/>
        </w:trPr>
        <w:tc>
          <w:tcPr>
            <w:tcW w:w="1167" w:type="dxa"/>
          </w:tcPr>
          <w:p w:rsidR="00C95DE3" w:rsidRPr="00AF318A" w:rsidRDefault="00C95DE3" w:rsidP="007B7850">
            <w:pPr>
              <w:autoSpaceDE w:val="0"/>
              <w:autoSpaceDN w:val="0"/>
              <w:adjustRightInd w:val="0"/>
              <w:spacing w:beforeLines="20" w:before="72" w:line="340" w:lineRule="exact"/>
              <w:ind w:leftChars="20" w:left="48" w:rightChars="20" w:right="48"/>
              <w:jc w:val="center"/>
              <w:rPr>
                <w:rFonts w:ascii="標楷體" w:eastAsia="標楷體" w:hAnsi="標楷體" w:cs="DFMing-Lt-HK-BF"/>
                <w:szCs w:val="24"/>
              </w:rPr>
            </w:pPr>
            <w:r w:rsidRPr="00AF318A">
              <w:rPr>
                <w:rFonts w:ascii="標楷體" w:eastAsia="標楷體" w:hAnsi="標楷體" w:cs="DFMing-Lt-HK-BF" w:hint="eastAsia"/>
                <w:szCs w:val="24"/>
              </w:rPr>
              <w:t>（十）</w:t>
            </w:r>
          </w:p>
        </w:tc>
        <w:tc>
          <w:tcPr>
            <w:tcW w:w="4473" w:type="dxa"/>
            <w:shd w:val="clear" w:color="auto" w:fill="auto"/>
          </w:tcPr>
          <w:p w:rsidR="00C95DE3" w:rsidRPr="00AF318A" w:rsidRDefault="00905193" w:rsidP="00762D80">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依照財政紀律法所授權訂定的稅式支出評估作業辦法規定，相關法律案送立法院審議前，行政院必須審查通過稅式支出評估，並且業務主管機關必須將稅式支出評估報告及公聽會會議紀錄送交立法院財政委員會及相關委員會，業務主管機關屢次未依照前開辦法將相關資料與法案併送交立法院（例如延長當沖降稅的證券交易稅條例），也未同時將評估報告登載於機關網站，無視法令規定，亦不理會立法院長期以來決議的要求。爰此，要求行政院各部會提出涉及租稅減免的法案送立法院審查時，除應確實依照稅式支出評估作業辦法規定外，同時應將相關稅式支出評估報告併同修正草案送立法院備查</w:t>
            </w:r>
            <w:r w:rsidR="00475A81" w:rsidRPr="00AF318A">
              <w:rPr>
                <w:rFonts w:ascii="標楷體" w:eastAsia="標楷體" w:hAnsi="標楷體" w:hint="eastAsia"/>
                <w:snapToGrid w:val="0"/>
                <w:kern w:val="0"/>
                <w:szCs w:val="24"/>
              </w:rPr>
              <w:t>。</w:t>
            </w:r>
          </w:p>
        </w:tc>
        <w:tc>
          <w:tcPr>
            <w:tcW w:w="4741" w:type="dxa"/>
          </w:tcPr>
          <w:p w:rsidR="00C95DE3" w:rsidRPr="00AF318A" w:rsidRDefault="00152380" w:rsidP="00152380">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非本會主管業務。</w:t>
            </w:r>
          </w:p>
        </w:tc>
      </w:tr>
      <w:tr w:rsidR="00AF318A" w:rsidRPr="00AF318A" w:rsidTr="00593EED">
        <w:trPr>
          <w:trHeight w:val="178"/>
        </w:trPr>
        <w:tc>
          <w:tcPr>
            <w:tcW w:w="1167" w:type="dxa"/>
          </w:tcPr>
          <w:p w:rsidR="006F48B0" w:rsidRPr="00AF318A" w:rsidRDefault="006F48B0" w:rsidP="007B7850">
            <w:pPr>
              <w:autoSpaceDE w:val="0"/>
              <w:autoSpaceDN w:val="0"/>
              <w:adjustRightInd w:val="0"/>
              <w:spacing w:beforeLines="20" w:before="72" w:line="340" w:lineRule="exact"/>
              <w:ind w:leftChars="20" w:left="48" w:rightChars="20" w:right="48"/>
              <w:jc w:val="center"/>
              <w:rPr>
                <w:rFonts w:ascii="標楷體" w:eastAsia="標楷體" w:hAnsi="標楷體" w:cs="DFMing-Lt-HK-BF"/>
                <w:szCs w:val="24"/>
              </w:rPr>
            </w:pPr>
            <w:r w:rsidRPr="00AF318A">
              <w:rPr>
                <w:rFonts w:ascii="標楷體" w:eastAsia="標楷體" w:hAnsi="標楷體" w:cs="DFMing-Lt-HK-BF" w:hint="eastAsia"/>
                <w:szCs w:val="24"/>
              </w:rPr>
              <w:lastRenderedPageBreak/>
              <w:t>（十一）</w:t>
            </w:r>
          </w:p>
        </w:tc>
        <w:tc>
          <w:tcPr>
            <w:tcW w:w="4473" w:type="dxa"/>
            <w:shd w:val="clear" w:color="auto" w:fill="auto"/>
          </w:tcPr>
          <w:p w:rsidR="006F48B0" w:rsidRPr="00AF318A" w:rsidRDefault="00AB7557" w:rsidP="00AB7557">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為合理監督國營事業捐贈支出，爰要求行政院所屬相關部會主管之國營事業，比照公開發行公司、財團法人等管理機制，應於1 個月內公布其過去5年（</w:t>
            </w:r>
            <w:r w:rsidR="00BF085D">
              <w:rPr>
                <w:rFonts w:ascii="標楷體" w:eastAsia="標楷體" w:hAnsi="標楷體" w:hint="eastAsia"/>
                <w:snapToGrid w:val="0"/>
                <w:kern w:val="0"/>
                <w:szCs w:val="24"/>
              </w:rPr>
              <w:t>106</w:t>
            </w:r>
            <w:r w:rsidRPr="00AF318A">
              <w:rPr>
                <w:rFonts w:ascii="標楷體" w:eastAsia="標楷體" w:hAnsi="標楷體" w:hint="eastAsia"/>
                <w:snapToGrid w:val="0"/>
                <w:kern w:val="0"/>
                <w:szCs w:val="24"/>
              </w:rPr>
              <w:t>至</w:t>
            </w:r>
            <w:r w:rsidR="00BF085D">
              <w:rPr>
                <w:rFonts w:ascii="標楷體" w:eastAsia="標楷體" w:hAnsi="標楷體" w:hint="eastAsia"/>
                <w:snapToGrid w:val="0"/>
                <w:kern w:val="0"/>
                <w:szCs w:val="24"/>
              </w:rPr>
              <w:t>110</w:t>
            </w:r>
            <w:r w:rsidRPr="00AF318A">
              <w:rPr>
                <w:rFonts w:ascii="標楷體" w:eastAsia="標楷體" w:hAnsi="標楷體" w:hint="eastAsia"/>
                <w:snapToGrid w:val="0"/>
                <w:kern w:val="0"/>
                <w:szCs w:val="24"/>
              </w:rPr>
              <w:t>年）之所有捐贈明細，並自</w:t>
            </w:r>
            <w:r w:rsidR="00BF085D">
              <w:rPr>
                <w:rFonts w:ascii="標楷體" w:eastAsia="標楷體" w:hAnsi="標楷體" w:hint="eastAsia"/>
                <w:snapToGrid w:val="0"/>
                <w:kern w:val="0"/>
                <w:szCs w:val="24"/>
              </w:rPr>
              <w:t>111</w:t>
            </w:r>
            <w:r w:rsidRPr="00AF318A">
              <w:rPr>
                <w:rFonts w:ascii="標楷體" w:eastAsia="標楷體" w:hAnsi="標楷體" w:hint="eastAsia"/>
                <w:snapToGrid w:val="0"/>
                <w:kern w:val="0"/>
                <w:szCs w:val="24"/>
              </w:rPr>
              <w:t>年度起，每季公布捐贈明細，以昭公信，並提升治理效</w:t>
            </w:r>
            <w:r w:rsidR="00720496">
              <w:rPr>
                <w:rFonts w:ascii="標楷體" w:eastAsia="標楷體" w:hAnsi="標楷體" w:hint="eastAsia"/>
                <w:snapToGrid w:val="0"/>
                <w:kern w:val="0"/>
                <w:szCs w:val="24"/>
              </w:rPr>
              <w:t>能</w:t>
            </w:r>
            <w:r w:rsidR="00475A81" w:rsidRPr="00AF318A">
              <w:rPr>
                <w:rFonts w:ascii="標楷體" w:eastAsia="標楷體" w:hAnsi="標楷體" w:hint="eastAsia"/>
                <w:snapToGrid w:val="0"/>
                <w:kern w:val="0"/>
                <w:szCs w:val="24"/>
              </w:rPr>
              <w:t>。</w:t>
            </w:r>
          </w:p>
        </w:tc>
        <w:tc>
          <w:tcPr>
            <w:tcW w:w="4741" w:type="dxa"/>
          </w:tcPr>
          <w:p w:rsidR="006F48B0" w:rsidRPr="00AF318A" w:rsidRDefault="00BB7522" w:rsidP="00F9105C">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非本會主管業務</w:t>
            </w:r>
            <w:r w:rsidR="00F9105C" w:rsidRPr="00AF318A">
              <w:rPr>
                <w:rFonts w:ascii="標楷體" w:eastAsia="標楷體" w:hAnsi="標楷體" w:hint="eastAsia"/>
                <w:snapToGrid w:val="0"/>
                <w:kern w:val="0"/>
                <w:szCs w:val="24"/>
              </w:rPr>
              <w:t>。</w:t>
            </w:r>
          </w:p>
        </w:tc>
      </w:tr>
      <w:tr w:rsidR="00AF318A" w:rsidRPr="00AF318A" w:rsidTr="00593EED">
        <w:trPr>
          <w:trHeight w:val="178"/>
        </w:trPr>
        <w:tc>
          <w:tcPr>
            <w:tcW w:w="1167" w:type="dxa"/>
          </w:tcPr>
          <w:p w:rsidR="00475A81" w:rsidRPr="00AF318A" w:rsidRDefault="001B4DD7" w:rsidP="001B4DD7">
            <w:pPr>
              <w:pStyle w:val="xl36"/>
              <w:widowControl w:val="0"/>
              <w:snapToGrid w:val="0"/>
              <w:spacing w:beforeLines="30" w:before="108" w:after="0" w:line="340" w:lineRule="exact"/>
              <w:ind w:leftChars="20" w:left="48" w:rightChars="20" w:right="48"/>
              <w:textAlignment w:val="auto"/>
              <w:rPr>
                <w:rFonts w:ascii="標楷體" w:eastAsia="標楷體" w:hAnsi="標楷體" w:cs="DFMing-Lt-HK-BF"/>
                <w:sz w:val="24"/>
                <w:szCs w:val="24"/>
              </w:rPr>
            </w:pPr>
            <w:r w:rsidRPr="00AF318A">
              <w:rPr>
                <w:rFonts w:ascii="標楷體" w:eastAsia="標楷體" w:hAnsi="標楷體" w:cs="DFMing-Lt-HK-BF" w:hint="eastAsia"/>
                <w:sz w:val="24"/>
                <w:szCs w:val="24"/>
              </w:rPr>
              <w:t>（十二）</w:t>
            </w:r>
          </w:p>
        </w:tc>
        <w:tc>
          <w:tcPr>
            <w:tcW w:w="4473" w:type="dxa"/>
            <w:shd w:val="clear" w:color="auto" w:fill="auto"/>
          </w:tcPr>
          <w:p w:rsidR="00475A81" w:rsidRPr="00AF318A" w:rsidRDefault="00AB7557" w:rsidP="00AB7557">
            <w:pPr>
              <w:autoSpaceDE w:val="0"/>
              <w:autoSpaceDN w:val="0"/>
              <w:adjustRightInd w:val="0"/>
              <w:spacing w:beforeLines="20" w:before="72" w:line="34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中央政府轉投資公私合營事業家數眾多，中央各主管部會派任或推薦至各該事業之董事長、總經理薪資規範，係由各主管部會訂定之，惟各部會所訂該等人員薪資標準規範規定，其中當年度其所支領之非固定收入（如房屋津貼、績效獎金及其他各項獎金等）總額不得超過固定收入（即月支薪俸、主管加給合計）總額，超過部分一律解繳國庫或繳作投資事業之收益。有鑑於行政院業自</w:t>
            </w:r>
            <w:r w:rsidR="00BF085D">
              <w:rPr>
                <w:rFonts w:ascii="標楷體" w:eastAsia="標楷體" w:hAnsi="標楷體" w:hint="eastAsia"/>
                <w:snapToGrid w:val="0"/>
                <w:kern w:val="0"/>
                <w:szCs w:val="24"/>
              </w:rPr>
              <w:t>78</w:t>
            </w:r>
            <w:r w:rsidRPr="00AF318A">
              <w:rPr>
                <w:rFonts w:ascii="標楷體" w:eastAsia="標楷體" w:hAnsi="標楷體" w:hint="eastAsia"/>
                <w:snapToGrid w:val="0"/>
                <w:kern w:val="0"/>
                <w:szCs w:val="24"/>
              </w:rPr>
              <w:t>年度起取消公務人員房屋津貼，立法院審議</w:t>
            </w:r>
            <w:r w:rsidR="00BF085D">
              <w:rPr>
                <w:rFonts w:ascii="標楷體" w:eastAsia="標楷體" w:hAnsi="標楷體" w:hint="eastAsia"/>
                <w:snapToGrid w:val="0"/>
                <w:kern w:val="0"/>
                <w:szCs w:val="24"/>
              </w:rPr>
              <w:t>103</w:t>
            </w:r>
            <w:r w:rsidRPr="00AF318A">
              <w:rPr>
                <w:rFonts w:ascii="標楷體" w:eastAsia="標楷體" w:hAnsi="標楷體" w:hint="eastAsia"/>
                <w:snapToGrid w:val="0"/>
                <w:kern w:val="0"/>
                <w:szCs w:val="24"/>
              </w:rPr>
              <w:t>年度中央政府總預算案決議略以，自</w:t>
            </w:r>
            <w:r w:rsidR="00BF085D">
              <w:rPr>
                <w:rFonts w:ascii="標楷體" w:eastAsia="標楷體" w:hAnsi="標楷體" w:hint="eastAsia"/>
                <w:snapToGrid w:val="0"/>
                <w:kern w:val="0"/>
                <w:szCs w:val="24"/>
              </w:rPr>
              <w:t>104</w:t>
            </w:r>
            <w:r w:rsidRPr="00AF318A">
              <w:rPr>
                <w:rFonts w:ascii="標楷體" w:eastAsia="標楷體" w:hAnsi="標楷體" w:hint="eastAsia"/>
                <w:snapToGrid w:val="0"/>
                <w:kern w:val="0"/>
                <w:szCs w:val="24"/>
              </w:rPr>
              <w:t>年度起，各財團法人除應比照公務人員取消交通補助費外，亦不得再發放高層主管之房屋津貼。爰此，中央各主管部會應立即修正派任或推薦至各該事業之董事長、總經理薪資標準規範，並取消違法津貼</w:t>
            </w:r>
            <w:r w:rsidR="00475A81" w:rsidRPr="00AF318A">
              <w:rPr>
                <w:rFonts w:ascii="標楷體" w:eastAsia="標楷體" w:hAnsi="標楷體" w:hint="eastAsia"/>
                <w:snapToGrid w:val="0"/>
                <w:kern w:val="0"/>
                <w:szCs w:val="24"/>
              </w:rPr>
              <w:t>。</w:t>
            </w:r>
          </w:p>
        </w:tc>
        <w:tc>
          <w:tcPr>
            <w:tcW w:w="4741" w:type="dxa"/>
          </w:tcPr>
          <w:p w:rsidR="00475A81" w:rsidRPr="00AF318A" w:rsidRDefault="00BB7522" w:rsidP="00BB7522">
            <w:pPr>
              <w:pStyle w:val="a8"/>
              <w:snapToGrid w:val="0"/>
              <w:spacing w:beforeLines="30" w:before="108"/>
              <w:ind w:leftChars="20" w:left="288" w:rightChars="20" w:right="48" w:hanging="240"/>
              <w:rPr>
                <w:snapToGrid w:val="0"/>
                <w:kern w:val="0"/>
                <w:sz w:val="24"/>
                <w:szCs w:val="24"/>
              </w:rPr>
            </w:pPr>
            <w:r w:rsidRPr="00AF318A">
              <w:rPr>
                <w:rFonts w:hint="eastAsia"/>
                <w:snapToGrid w:val="0"/>
                <w:kern w:val="0"/>
                <w:sz w:val="24"/>
                <w:szCs w:val="24"/>
              </w:rPr>
              <w:t>非本會主管業務。</w:t>
            </w:r>
          </w:p>
        </w:tc>
      </w:tr>
      <w:tr w:rsidR="00AF318A" w:rsidRPr="00AF318A" w:rsidTr="00593EED">
        <w:trPr>
          <w:trHeight w:val="178"/>
        </w:trPr>
        <w:tc>
          <w:tcPr>
            <w:tcW w:w="1167" w:type="dxa"/>
          </w:tcPr>
          <w:p w:rsidR="00475A81" w:rsidRPr="00AF318A" w:rsidRDefault="001B4DD7" w:rsidP="001B4DD7">
            <w:pPr>
              <w:pStyle w:val="xl36"/>
              <w:widowControl w:val="0"/>
              <w:snapToGrid w:val="0"/>
              <w:spacing w:beforeLines="30" w:before="108" w:after="0" w:line="340" w:lineRule="exact"/>
              <w:ind w:leftChars="20" w:left="48" w:rightChars="20" w:right="48"/>
              <w:textAlignment w:val="auto"/>
              <w:rPr>
                <w:rFonts w:ascii="標楷體" w:eastAsia="標楷體" w:hAnsi="標楷體" w:cs="DFMing-Lt-HK-BF"/>
                <w:sz w:val="24"/>
                <w:szCs w:val="24"/>
              </w:rPr>
            </w:pPr>
            <w:r w:rsidRPr="00AF318A">
              <w:rPr>
                <w:rFonts w:ascii="標楷體" w:eastAsia="標楷體" w:hAnsi="標楷體" w:cs="DFMing-Lt-HK-BF" w:hint="eastAsia"/>
                <w:sz w:val="24"/>
                <w:szCs w:val="24"/>
              </w:rPr>
              <w:t>（十三）</w:t>
            </w:r>
          </w:p>
        </w:tc>
        <w:tc>
          <w:tcPr>
            <w:tcW w:w="4473" w:type="dxa"/>
            <w:shd w:val="clear" w:color="auto" w:fill="auto"/>
          </w:tcPr>
          <w:p w:rsidR="00475A81" w:rsidRPr="00AF318A" w:rsidRDefault="00AB7557" w:rsidP="00762D80">
            <w:pPr>
              <w:autoSpaceDE w:val="0"/>
              <w:autoSpaceDN w:val="0"/>
              <w:adjustRightInd w:val="0"/>
              <w:spacing w:beforeLines="20" w:before="72" w:line="340" w:lineRule="exact"/>
              <w:ind w:leftChars="20" w:left="48" w:rightChars="20" w:right="48"/>
              <w:jc w:val="both"/>
              <w:rPr>
                <w:snapToGrid w:val="0"/>
                <w:kern w:val="0"/>
                <w:szCs w:val="24"/>
              </w:rPr>
            </w:pPr>
            <w:r w:rsidRPr="00AF318A">
              <w:rPr>
                <w:rFonts w:ascii="標楷體" w:eastAsia="標楷體" w:hAnsi="標楷體" w:hint="eastAsia"/>
                <w:snapToGrid w:val="0"/>
                <w:kern w:val="0"/>
                <w:szCs w:val="24"/>
              </w:rPr>
              <w:t>政府轉投資事業</w:t>
            </w:r>
            <w:r w:rsidR="00BF085D">
              <w:rPr>
                <w:rFonts w:ascii="標楷體" w:eastAsia="標楷體" w:hAnsi="標楷體" w:hint="eastAsia"/>
                <w:snapToGrid w:val="0"/>
                <w:kern w:val="0"/>
                <w:szCs w:val="24"/>
              </w:rPr>
              <w:t>107</w:t>
            </w:r>
            <w:r w:rsidRPr="00AF318A">
              <w:rPr>
                <w:rFonts w:ascii="標楷體" w:eastAsia="標楷體" w:hAnsi="標楷體" w:hint="eastAsia"/>
                <w:snapToGrid w:val="0"/>
                <w:kern w:val="0"/>
                <w:szCs w:val="24"/>
              </w:rPr>
              <w:t>年底至</w:t>
            </w:r>
            <w:r w:rsidR="00BF085D">
              <w:rPr>
                <w:rFonts w:ascii="標楷體" w:eastAsia="標楷體" w:hAnsi="標楷體" w:hint="eastAsia"/>
                <w:snapToGrid w:val="0"/>
                <w:kern w:val="0"/>
                <w:szCs w:val="24"/>
              </w:rPr>
              <w:t>109</w:t>
            </w:r>
            <w:r w:rsidRPr="00AF318A">
              <w:rPr>
                <w:rFonts w:ascii="標楷體" w:eastAsia="標楷體" w:hAnsi="標楷體" w:hint="eastAsia"/>
                <w:snapToGrid w:val="0"/>
                <w:kern w:val="0"/>
                <w:szCs w:val="24"/>
              </w:rPr>
              <w:t>年底，分別為</w:t>
            </w:r>
            <w:r w:rsidR="00BF085D">
              <w:rPr>
                <w:rFonts w:ascii="標楷體" w:eastAsia="標楷體" w:hAnsi="標楷體" w:hint="eastAsia"/>
                <w:snapToGrid w:val="0"/>
                <w:kern w:val="0"/>
                <w:szCs w:val="24"/>
              </w:rPr>
              <w:t>164</w:t>
            </w:r>
            <w:r w:rsidRPr="00AF318A">
              <w:rPr>
                <w:rFonts w:ascii="標楷體" w:eastAsia="標楷體" w:hAnsi="標楷體" w:hint="eastAsia"/>
                <w:snapToGrid w:val="0"/>
                <w:kern w:val="0"/>
                <w:szCs w:val="24"/>
              </w:rPr>
              <w:t>家、</w:t>
            </w:r>
            <w:r w:rsidR="00BF085D">
              <w:rPr>
                <w:rFonts w:ascii="標楷體" w:eastAsia="標楷體" w:hAnsi="標楷體" w:hint="eastAsia"/>
                <w:snapToGrid w:val="0"/>
                <w:kern w:val="0"/>
                <w:szCs w:val="24"/>
              </w:rPr>
              <w:t>164</w:t>
            </w:r>
            <w:r w:rsidRPr="00AF318A">
              <w:rPr>
                <w:rFonts w:ascii="標楷體" w:eastAsia="標楷體" w:hAnsi="標楷體" w:hint="eastAsia"/>
                <w:snapToGrid w:val="0"/>
                <w:kern w:val="0"/>
                <w:szCs w:val="24"/>
              </w:rPr>
              <w:t>家及</w:t>
            </w:r>
            <w:r w:rsidR="00BF085D">
              <w:rPr>
                <w:rFonts w:ascii="標楷體" w:eastAsia="標楷體" w:hAnsi="標楷體" w:hint="eastAsia"/>
                <w:snapToGrid w:val="0"/>
                <w:kern w:val="0"/>
                <w:szCs w:val="24"/>
              </w:rPr>
              <w:t>175</w:t>
            </w:r>
            <w:r w:rsidRPr="00AF318A">
              <w:rPr>
                <w:rFonts w:ascii="標楷體" w:eastAsia="標楷體" w:hAnsi="標楷體" w:hint="eastAsia"/>
                <w:snapToGrid w:val="0"/>
                <w:kern w:val="0"/>
                <w:szCs w:val="24"/>
              </w:rPr>
              <w:t>家，期末實際總投資金額</w:t>
            </w:r>
            <w:r w:rsidR="00BF085D">
              <w:rPr>
                <w:rFonts w:ascii="標楷體" w:eastAsia="標楷體" w:hAnsi="標楷體" w:hint="eastAsia"/>
                <w:snapToGrid w:val="0"/>
                <w:kern w:val="0"/>
                <w:szCs w:val="24"/>
              </w:rPr>
              <w:t>1</w:t>
            </w:r>
            <w:r w:rsidRPr="00AF318A">
              <w:rPr>
                <w:rFonts w:ascii="標楷體" w:eastAsia="標楷體" w:hAnsi="標楷體" w:hint="eastAsia"/>
                <w:snapToGrid w:val="0"/>
                <w:kern w:val="0"/>
                <w:szCs w:val="24"/>
              </w:rPr>
              <w:t>兆</w:t>
            </w:r>
            <w:r w:rsidR="00BF085D">
              <w:rPr>
                <w:rFonts w:ascii="標楷體" w:eastAsia="標楷體" w:hAnsi="標楷體" w:hint="eastAsia"/>
                <w:snapToGrid w:val="0"/>
                <w:kern w:val="0"/>
                <w:szCs w:val="24"/>
              </w:rPr>
              <w:t>652</w:t>
            </w:r>
            <w:r w:rsidRPr="00AF318A">
              <w:rPr>
                <w:rFonts w:ascii="標楷體" w:eastAsia="標楷體" w:hAnsi="標楷體" w:hint="eastAsia"/>
                <w:snapToGrid w:val="0"/>
                <w:kern w:val="0"/>
                <w:szCs w:val="24"/>
              </w:rPr>
              <w:t>億</w:t>
            </w:r>
            <w:r w:rsidR="00BF085D">
              <w:rPr>
                <w:rFonts w:ascii="標楷體" w:eastAsia="標楷體" w:hAnsi="標楷體" w:hint="eastAsia"/>
                <w:snapToGrid w:val="0"/>
                <w:kern w:val="0"/>
                <w:szCs w:val="24"/>
              </w:rPr>
              <w:t>5,518</w:t>
            </w:r>
            <w:r w:rsidRPr="00AF318A">
              <w:rPr>
                <w:rFonts w:ascii="標楷體" w:eastAsia="標楷體" w:hAnsi="標楷體" w:hint="eastAsia"/>
                <w:snapToGrid w:val="0"/>
                <w:kern w:val="0"/>
                <w:szCs w:val="24"/>
              </w:rPr>
              <w:t>萬餘元、</w:t>
            </w:r>
            <w:r w:rsidR="00BF085D">
              <w:rPr>
                <w:rFonts w:ascii="標楷體" w:eastAsia="標楷體" w:hAnsi="標楷體" w:hint="eastAsia"/>
                <w:snapToGrid w:val="0"/>
                <w:kern w:val="0"/>
                <w:szCs w:val="24"/>
              </w:rPr>
              <w:t>1</w:t>
            </w:r>
            <w:r w:rsidRPr="00AF318A">
              <w:rPr>
                <w:rFonts w:ascii="標楷體" w:eastAsia="標楷體" w:hAnsi="標楷體" w:hint="eastAsia"/>
                <w:snapToGrid w:val="0"/>
                <w:kern w:val="0"/>
                <w:szCs w:val="24"/>
              </w:rPr>
              <w:t>兆</w:t>
            </w:r>
            <w:r w:rsidR="00BF085D">
              <w:rPr>
                <w:rFonts w:ascii="標楷體" w:eastAsia="標楷體" w:hAnsi="標楷體" w:hint="eastAsia"/>
                <w:snapToGrid w:val="0"/>
                <w:kern w:val="0"/>
                <w:szCs w:val="24"/>
              </w:rPr>
              <w:t>2,871</w:t>
            </w:r>
            <w:r w:rsidRPr="00AF318A">
              <w:rPr>
                <w:rFonts w:ascii="標楷體" w:eastAsia="標楷體" w:hAnsi="標楷體" w:hint="eastAsia"/>
                <w:snapToGrid w:val="0"/>
                <w:kern w:val="0"/>
                <w:szCs w:val="24"/>
              </w:rPr>
              <w:t>億</w:t>
            </w:r>
            <w:r w:rsidR="00BF085D">
              <w:rPr>
                <w:rFonts w:ascii="標楷體" w:eastAsia="標楷體" w:hAnsi="標楷體" w:hint="eastAsia"/>
                <w:snapToGrid w:val="0"/>
                <w:kern w:val="0"/>
                <w:szCs w:val="24"/>
              </w:rPr>
              <w:t>3,722</w:t>
            </w:r>
            <w:r w:rsidRPr="00AF318A">
              <w:rPr>
                <w:rFonts w:ascii="標楷體" w:eastAsia="標楷體" w:hAnsi="標楷體" w:hint="eastAsia"/>
                <w:snapToGrid w:val="0"/>
                <w:kern w:val="0"/>
                <w:szCs w:val="24"/>
              </w:rPr>
              <w:t>萬餘元及1兆</w:t>
            </w:r>
            <w:r w:rsidR="00BF085D">
              <w:rPr>
                <w:rFonts w:ascii="標楷體" w:eastAsia="標楷體" w:hAnsi="標楷體" w:hint="eastAsia"/>
                <w:snapToGrid w:val="0"/>
                <w:kern w:val="0"/>
                <w:szCs w:val="24"/>
              </w:rPr>
              <w:t>6,498</w:t>
            </w:r>
            <w:r w:rsidRPr="00AF318A">
              <w:rPr>
                <w:rFonts w:ascii="標楷體" w:eastAsia="標楷體" w:hAnsi="標楷體" w:hint="eastAsia"/>
                <w:snapToGrid w:val="0"/>
                <w:kern w:val="0"/>
                <w:szCs w:val="24"/>
              </w:rPr>
              <w:t>億</w:t>
            </w:r>
            <w:r w:rsidR="00BF085D">
              <w:rPr>
                <w:rFonts w:ascii="標楷體" w:eastAsia="標楷體" w:hAnsi="標楷體" w:hint="eastAsia"/>
                <w:snapToGrid w:val="0"/>
                <w:kern w:val="0"/>
                <w:szCs w:val="24"/>
              </w:rPr>
              <w:t>3,334</w:t>
            </w:r>
            <w:r w:rsidRPr="00AF318A">
              <w:rPr>
                <w:rFonts w:ascii="標楷體" w:eastAsia="標楷體" w:hAnsi="標楷體" w:hint="eastAsia"/>
                <w:snapToGrid w:val="0"/>
                <w:kern w:val="0"/>
                <w:szCs w:val="24"/>
              </w:rPr>
              <w:t>萬餘元，其中</w:t>
            </w:r>
            <w:r w:rsidR="00BF085D">
              <w:rPr>
                <w:rFonts w:ascii="標楷體" w:eastAsia="標楷體" w:hAnsi="標楷體" w:hint="eastAsia"/>
                <w:snapToGrid w:val="0"/>
                <w:kern w:val="0"/>
                <w:szCs w:val="24"/>
              </w:rPr>
              <w:t>21</w:t>
            </w:r>
            <w:r w:rsidRPr="00AF318A">
              <w:rPr>
                <w:rFonts w:ascii="標楷體" w:eastAsia="標楷體" w:hAnsi="標楷體" w:hint="eastAsia"/>
                <w:snapToGrid w:val="0"/>
                <w:kern w:val="0"/>
                <w:szCs w:val="24"/>
              </w:rPr>
              <w:t>家轉投資公司連續虧損達</w:t>
            </w:r>
            <w:r w:rsidR="00BF085D">
              <w:rPr>
                <w:rFonts w:ascii="標楷體" w:eastAsia="標楷體" w:hAnsi="標楷體" w:hint="eastAsia"/>
                <w:snapToGrid w:val="0"/>
                <w:kern w:val="0"/>
                <w:szCs w:val="24"/>
              </w:rPr>
              <w:t>3</w:t>
            </w:r>
            <w:r w:rsidRPr="00AF318A">
              <w:rPr>
                <w:rFonts w:ascii="標楷體" w:eastAsia="標楷體" w:hAnsi="標楷體" w:hint="eastAsia"/>
                <w:snapToGrid w:val="0"/>
                <w:kern w:val="0"/>
                <w:szCs w:val="24"/>
              </w:rPr>
              <w:t>年以上，依立法院預算中心</w:t>
            </w:r>
            <w:r w:rsidR="00BF085D">
              <w:rPr>
                <w:rFonts w:ascii="標楷體" w:eastAsia="標楷體" w:hAnsi="標楷體" w:hint="eastAsia"/>
                <w:snapToGrid w:val="0"/>
                <w:kern w:val="0"/>
                <w:szCs w:val="24"/>
              </w:rPr>
              <w:t>109</w:t>
            </w:r>
            <w:r w:rsidRPr="00AF318A">
              <w:rPr>
                <w:rFonts w:ascii="標楷體" w:eastAsia="標楷體" w:hAnsi="標楷體" w:hint="eastAsia"/>
                <w:snapToGrid w:val="0"/>
                <w:kern w:val="0"/>
                <w:szCs w:val="24"/>
              </w:rPr>
              <w:t>年度中央政府總決算審核報告整體評估報告指出，檢視投資目的達成度之揭露狀況，部分投資機關僅分析虧損原因，部分係說明現行處置狀況，部分則未備註分析，且中央政府特種基金參加民營事業投資管理要點第</w:t>
            </w:r>
            <w:r w:rsidR="00BF085D">
              <w:rPr>
                <w:rFonts w:ascii="標楷體" w:eastAsia="標楷體" w:hAnsi="標楷體" w:hint="eastAsia"/>
                <w:snapToGrid w:val="0"/>
                <w:kern w:val="0"/>
                <w:szCs w:val="24"/>
              </w:rPr>
              <w:t>11</w:t>
            </w:r>
            <w:r w:rsidRPr="00AF318A">
              <w:rPr>
                <w:rFonts w:ascii="標楷體" w:eastAsia="標楷體" w:hAnsi="標楷體" w:hint="eastAsia"/>
                <w:snapToGrid w:val="0"/>
                <w:kern w:val="0"/>
                <w:szCs w:val="24"/>
              </w:rPr>
              <w:t>條規定：「各基金參加民營事業投資所營事業目標無法達成，或連續</w:t>
            </w:r>
            <w:r w:rsidR="00BF085D">
              <w:rPr>
                <w:rFonts w:ascii="標楷體" w:eastAsia="標楷體" w:hAnsi="標楷體" w:hint="eastAsia"/>
                <w:snapToGrid w:val="0"/>
                <w:kern w:val="0"/>
                <w:szCs w:val="24"/>
              </w:rPr>
              <w:t>3</w:t>
            </w:r>
            <w:r w:rsidRPr="00AF318A">
              <w:rPr>
                <w:rFonts w:ascii="標楷體" w:eastAsia="標楷體" w:hAnsi="標楷體" w:hint="eastAsia"/>
                <w:snapToGrid w:val="0"/>
                <w:kern w:val="0"/>
                <w:szCs w:val="24"/>
              </w:rPr>
              <w:t>年虧損情況無法改善，</w:t>
            </w:r>
            <w:r w:rsidRPr="00AF318A">
              <w:rPr>
                <w:rFonts w:ascii="標楷體" w:eastAsia="標楷體" w:hAnsi="標楷體" w:hint="eastAsia"/>
                <w:snapToGrid w:val="0"/>
                <w:kern w:val="0"/>
                <w:szCs w:val="24"/>
              </w:rPr>
              <w:lastRenderedPageBreak/>
              <w:t>應詳加評估檢討，報由主管機關核處。」鑑於政府轉投資家數及數額近年度皆趨增，轉投資事業連續虧損達3年以上者高達</w:t>
            </w:r>
            <w:r w:rsidR="00BF085D">
              <w:rPr>
                <w:rFonts w:ascii="標楷體" w:eastAsia="標楷體" w:hAnsi="標楷體" w:hint="eastAsia"/>
                <w:snapToGrid w:val="0"/>
                <w:kern w:val="0"/>
                <w:szCs w:val="24"/>
              </w:rPr>
              <w:t>21</w:t>
            </w:r>
            <w:r w:rsidRPr="00AF318A">
              <w:rPr>
                <w:rFonts w:ascii="標楷體" w:eastAsia="標楷體" w:hAnsi="標楷體" w:hint="eastAsia"/>
                <w:snapToGrid w:val="0"/>
                <w:kern w:val="0"/>
                <w:szCs w:val="24"/>
              </w:rPr>
              <w:t>家，為保障政府權益，行政院應督促各投資機關除於投資前宜妥為評估目的、效益、回收年限及發展目標等事項，並確實檢討投資政策及檢視投資目的之達成情形，以評估繼續持有或退場撤回資金，以達到政府監督效果，爰請行政院督導相關主管機關於3 個月內向立法院相關委員會提出書面報</w:t>
            </w:r>
            <w:r w:rsidR="006E5FAB">
              <w:rPr>
                <w:rFonts w:ascii="標楷體" w:eastAsia="標楷體" w:hAnsi="標楷體" w:hint="eastAsia"/>
                <w:snapToGrid w:val="0"/>
                <w:kern w:val="0"/>
                <w:szCs w:val="24"/>
              </w:rPr>
              <w:t>告</w:t>
            </w:r>
            <w:r w:rsidR="00475A81" w:rsidRPr="00AF318A">
              <w:rPr>
                <w:rFonts w:ascii="標楷體" w:eastAsia="標楷體" w:hAnsi="標楷體" w:hint="eastAsia"/>
                <w:snapToGrid w:val="0"/>
                <w:kern w:val="0"/>
                <w:szCs w:val="24"/>
              </w:rPr>
              <w:t>。</w:t>
            </w:r>
          </w:p>
        </w:tc>
        <w:tc>
          <w:tcPr>
            <w:tcW w:w="4741" w:type="dxa"/>
          </w:tcPr>
          <w:p w:rsidR="00475A81" w:rsidRPr="00AF318A" w:rsidRDefault="00BB7522" w:rsidP="00BB7522">
            <w:pPr>
              <w:pStyle w:val="a8"/>
              <w:snapToGrid w:val="0"/>
              <w:spacing w:beforeLines="30" w:before="108"/>
              <w:ind w:leftChars="20" w:left="288" w:rightChars="20" w:right="48" w:hanging="240"/>
              <w:rPr>
                <w:snapToGrid w:val="0"/>
                <w:kern w:val="0"/>
                <w:sz w:val="24"/>
                <w:szCs w:val="24"/>
              </w:rPr>
            </w:pPr>
            <w:r w:rsidRPr="00AF318A">
              <w:rPr>
                <w:rFonts w:hint="eastAsia"/>
                <w:snapToGrid w:val="0"/>
                <w:kern w:val="0"/>
                <w:sz w:val="24"/>
                <w:szCs w:val="24"/>
              </w:rPr>
              <w:lastRenderedPageBreak/>
              <w:t>非本會主管業務。</w:t>
            </w:r>
          </w:p>
        </w:tc>
      </w:tr>
      <w:tr w:rsidR="00AF318A" w:rsidRPr="00AF318A" w:rsidTr="00593EED">
        <w:trPr>
          <w:trHeight w:val="178"/>
        </w:trPr>
        <w:tc>
          <w:tcPr>
            <w:tcW w:w="1167" w:type="dxa"/>
          </w:tcPr>
          <w:p w:rsidR="00475A81" w:rsidRPr="00AF318A" w:rsidRDefault="001B4DD7" w:rsidP="001B4DD7">
            <w:pPr>
              <w:pStyle w:val="xl36"/>
              <w:widowControl w:val="0"/>
              <w:snapToGrid w:val="0"/>
              <w:spacing w:beforeLines="30" w:before="108" w:after="0" w:line="340" w:lineRule="exact"/>
              <w:ind w:leftChars="20" w:left="48" w:rightChars="20" w:right="48"/>
              <w:textAlignment w:val="auto"/>
              <w:rPr>
                <w:rFonts w:ascii="標楷體" w:eastAsia="標楷體" w:hAnsi="標楷體" w:cs="DFMing-Lt-HK-BF"/>
                <w:sz w:val="24"/>
                <w:szCs w:val="24"/>
              </w:rPr>
            </w:pPr>
            <w:r w:rsidRPr="00AF318A">
              <w:rPr>
                <w:rFonts w:ascii="標楷體" w:eastAsia="標楷體" w:hAnsi="標楷體" w:cs="DFMing-Lt-HK-BF" w:hint="eastAsia"/>
                <w:sz w:val="24"/>
                <w:szCs w:val="24"/>
              </w:rPr>
              <w:lastRenderedPageBreak/>
              <w:t>（十四）</w:t>
            </w:r>
          </w:p>
        </w:tc>
        <w:tc>
          <w:tcPr>
            <w:tcW w:w="4473" w:type="dxa"/>
            <w:shd w:val="clear" w:color="auto" w:fill="auto"/>
          </w:tcPr>
          <w:p w:rsidR="00475A81" w:rsidRPr="00AF318A" w:rsidRDefault="003A10CD" w:rsidP="004E1F0E">
            <w:pPr>
              <w:autoSpaceDE w:val="0"/>
              <w:autoSpaceDN w:val="0"/>
              <w:adjustRightInd w:val="0"/>
              <w:spacing w:beforeLines="20" w:before="72" w:line="300" w:lineRule="exact"/>
              <w:ind w:leftChars="20" w:left="48" w:rightChars="20" w:right="48"/>
              <w:jc w:val="both"/>
              <w:rPr>
                <w:snapToGrid w:val="0"/>
                <w:kern w:val="0"/>
                <w:szCs w:val="24"/>
              </w:rPr>
            </w:pPr>
            <w:r w:rsidRPr="00AF318A">
              <w:rPr>
                <w:rFonts w:ascii="標楷體" w:eastAsia="標楷體" w:hAnsi="標楷體" w:hint="eastAsia"/>
                <w:snapToGrid w:val="0"/>
                <w:kern w:val="0"/>
                <w:szCs w:val="24"/>
              </w:rPr>
              <w:t>預算法第</w:t>
            </w:r>
            <w:r w:rsidR="00BF085D">
              <w:rPr>
                <w:rFonts w:ascii="標楷體" w:eastAsia="標楷體" w:hAnsi="標楷體" w:hint="eastAsia"/>
                <w:snapToGrid w:val="0"/>
                <w:kern w:val="0"/>
                <w:szCs w:val="24"/>
              </w:rPr>
              <w:t>41</w:t>
            </w:r>
            <w:r w:rsidRPr="00AF318A">
              <w:rPr>
                <w:rFonts w:ascii="標楷體" w:eastAsia="標楷體" w:hAnsi="標楷體" w:hint="eastAsia"/>
                <w:snapToGrid w:val="0"/>
                <w:kern w:val="0"/>
                <w:szCs w:val="24"/>
              </w:rPr>
              <w:t>條第</w:t>
            </w:r>
            <w:r w:rsidR="00BF085D">
              <w:rPr>
                <w:rFonts w:ascii="標楷體" w:eastAsia="標楷體" w:hAnsi="標楷體" w:hint="eastAsia"/>
                <w:snapToGrid w:val="0"/>
                <w:kern w:val="0"/>
                <w:szCs w:val="24"/>
              </w:rPr>
              <w:t>3</w:t>
            </w:r>
            <w:r w:rsidRPr="00AF318A">
              <w:rPr>
                <w:rFonts w:ascii="標楷體" w:eastAsia="標楷體" w:hAnsi="標楷體" w:hint="eastAsia"/>
                <w:snapToGrid w:val="0"/>
                <w:kern w:val="0"/>
                <w:szCs w:val="24"/>
              </w:rPr>
              <w:t>項規定，政府捐助之財團法人，每年應由各該主管機關就以前年度投資或捐助之效益評估，併入決算辦理。</w:t>
            </w:r>
            <w:r w:rsidR="00BF085D">
              <w:rPr>
                <w:rFonts w:ascii="標楷體" w:eastAsia="標楷體" w:hAnsi="標楷體" w:hint="eastAsia"/>
                <w:snapToGrid w:val="0"/>
                <w:kern w:val="0"/>
                <w:szCs w:val="24"/>
              </w:rPr>
              <w:t>109</w:t>
            </w:r>
            <w:r w:rsidRPr="00AF318A">
              <w:rPr>
                <w:rFonts w:ascii="標楷體" w:eastAsia="標楷體" w:hAnsi="標楷體" w:hint="eastAsia"/>
                <w:snapToGrid w:val="0"/>
                <w:kern w:val="0"/>
                <w:szCs w:val="24"/>
              </w:rPr>
              <w:t>年度總決算編製要點規定，各主管機關須於主管決算編製主管機關對各部門捐助財團法人之效益評估表。且政府資訊公開法第</w:t>
            </w:r>
            <w:r w:rsidR="00BF085D">
              <w:rPr>
                <w:rFonts w:ascii="標楷體" w:eastAsia="標楷體" w:hAnsi="標楷體" w:hint="eastAsia"/>
                <w:snapToGrid w:val="0"/>
                <w:kern w:val="0"/>
                <w:szCs w:val="24"/>
              </w:rPr>
              <w:t>7</w:t>
            </w:r>
            <w:r w:rsidRPr="00AF318A">
              <w:rPr>
                <w:rFonts w:ascii="標楷體" w:eastAsia="標楷體" w:hAnsi="標楷體" w:hint="eastAsia"/>
                <w:snapToGrid w:val="0"/>
                <w:kern w:val="0"/>
                <w:szCs w:val="24"/>
              </w:rPr>
              <w:t>條第</w:t>
            </w:r>
            <w:r w:rsidR="00BF085D">
              <w:rPr>
                <w:rFonts w:ascii="標楷體" w:eastAsia="標楷體" w:hAnsi="標楷體" w:hint="eastAsia"/>
                <w:snapToGrid w:val="0"/>
                <w:kern w:val="0"/>
                <w:szCs w:val="24"/>
              </w:rPr>
              <w:t>1</w:t>
            </w:r>
            <w:r w:rsidRPr="00AF318A">
              <w:rPr>
                <w:rFonts w:ascii="標楷體" w:eastAsia="標楷體" w:hAnsi="標楷體" w:hint="eastAsia"/>
                <w:snapToGrid w:val="0"/>
                <w:kern w:val="0"/>
                <w:szCs w:val="24"/>
              </w:rPr>
              <w:t>項第</w:t>
            </w:r>
            <w:r w:rsidR="00BF085D">
              <w:rPr>
                <w:rFonts w:ascii="標楷體" w:eastAsia="標楷體" w:hAnsi="標楷體" w:hint="eastAsia"/>
                <w:snapToGrid w:val="0"/>
                <w:kern w:val="0"/>
                <w:szCs w:val="24"/>
              </w:rPr>
              <w:t>6</w:t>
            </w:r>
            <w:r w:rsidRPr="00AF318A">
              <w:rPr>
                <w:rFonts w:ascii="標楷體" w:eastAsia="標楷體" w:hAnsi="標楷體" w:hint="eastAsia"/>
                <w:snapToGrid w:val="0"/>
                <w:kern w:val="0"/>
                <w:szCs w:val="24"/>
              </w:rPr>
              <w:t>款規定，政府機關除依法限制公開或不予提供者外，應主動公開預算及決算書。惟依立法院預算中心</w:t>
            </w:r>
            <w:r w:rsidR="00BF085D">
              <w:rPr>
                <w:rFonts w:ascii="標楷體" w:eastAsia="標楷體" w:hAnsi="標楷體" w:hint="eastAsia"/>
                <w:snapToGrid w:val="0"/>
                <w:kern w:val="0"/>
                <w:szCs w:val="24"/>
              </w:rPr>
              <w:t>109</w:t>
            </w:r>
            <w:r w:rsidRPr="00AF318A">
              <w:rPr>
                <w:rFonts w:ascii="標楷體" w:eastAsia="標楷體" w:hAnsi="標楷體" w:hint="eastAsia"/>
                <w:snapToGrid w:val="0"/>
                <w:kern w:val="0"/>
                <w:szCs w:val="24"/>
              </w:rPr>
              <w:t>年度中央政府總決算審核報告整體評估報告指出，</w:t>
            </w:r>
            <w:r w:rsidR="00BF085D">
              <w:rPr>
                <w:rFonts w:ascii="標楷體" w:eastAsia="標楷體" w:hAnsi="標楷體" w:hint="eastAsia"/>
                <w:snapToGrid w:val="0"/>
                <w:kern w:val="0"/>
                <w:szCs w:val="24"/>
              </w:rPr>
              <w:t>108</w:t>
            </w:r>
            <w:r w:rsidRPr="00AF318A">
              <w:rPr>
                <w:rFonts w:ascii="標楷體" w:eastAsia="標楷體" w:hAnsi="標楷體" w:hint="eastAsia"/>
                <w:snapToGrid w:val="0"/>
                <w:kern w:val="0"/>
                <w:szCs w:val="24"/>
              </w:rPr>
              <w:t>及</w:t>
            </w:r>
            <w:r w:rsidR="00BF085D">
              <w:rPr>
                <w:rFonts w:ascii="標楷體" w:eastAsia="標楷體" w:hAnsi="標楷體" w:hint="eastAsia"/>
                <w:snapToGrid w:val="0"/>
                <w:kern w:val="0"/>
                <w:szCs w:val="24"/>
              </w:rPr>
              <w:t>109</w:t>
            </w:r>
            <w:r w:rsidRPr="00AF318A">
              <w:rPr>
                <w:rFonts w:ascii="標楷體" w:eastAsia="標楷體" w:hAnsi="標楷體" w:hint="eastAsia"/>
                <w:snapToGrid w:val="0"/>
                <w:kern w:val="0"/>
                <w:szCs w:val="24"/>
              </w:rPr>
              <w:t>年度中央政府各主管機關之單位決算及主管決算之公開情形，各主管機關均有公開單位決算；惟主管決算部分，僅行政院原子能委員會、衛生福利部、文化部、科技部及金融監督管理委員會等5 個主管機關公開，多數主管機關則未依法公開，致民眾難以知悉主管機關對各部門捐助財團法人之效益評估情形，爰此，行政院應立即依政府資訊公開法規定各主管機關自110年度起主動公開主管決算</w:t>
            </w:r>
            <w:r w:rsidR="00475A81" w:rsidRPr="00AF318A">
              <w:rPr>
                <w:rFonts w:ascii="標楷體" w:eastAsia="標楷體" w:hAnsi="標楷體" w:hint="eastAsia"/>
                <w:snapToGrid w:val="0"/>
                <w:kern w:val="0"/>
                <w:szCs w:val="24"/>
              </w:rPr>
              <w:t>。</w:t>
            </w:r>
          </w:p>
        </w:tc>
        <w:tc>
          <w:tcPr>
            <w:tcW w:w="4741" w:type="dxa"/>
          </w:tcPr>
          <w:p w:rsidR="00475A81" w:rsidRPr="00AF318A" w:rsidRDefault="00BB7522" w:rsidP="00BB7522">
            <w:pPr>
              <w:pStyle w:val="a8"/>
              <w:snapToGrid w:val="0"/>
              <w:spacing w:beforeLines="30" w:before="108"/>
              <w:ind w:leftChars="20" w:left="288" w:rightChars="20" w:right="48" w:hanging="240"/>
              <w:rPr>
                <w:snapToGrid w:val="0"/>
                <w:kern w:val="0"/>
                <w:sz w:val="24"/>
                <w:szCs w:val="24"/>
              </w:rPr>
            </w:pPr>
            <w:r w:rsidRPr="00AF318A">
              <w:rPr>
                <w:rFonts w:hint="eastAsia"/>
                <w:snapToGrid w:val="0"/>
                <w:kern w:val="0"/>
                <w:sz w:val="24"/>
                <w:szCs w:val="24"/>
              </w:rPr>
              <w:t>非本會主管業務。</w:t>
            </w:r>
          </w:p>
        </w:tc>
      </w:tr>
      <w:tr w:rsidR="00AF318A" w:rsidRPr="00AF318A" w:rsidTr="00593EED">
        <w:trPr>
          <w:trHeight w:val="178"/>
        </w:trPr>
        <w:tc>
          <w:tcPr>
            <w:tcW w:w="1167" w:type="dxa"/>
          </w:tcPr>
          <w:p w:rsidR="001B4DD7" w:rsidRPr="00AF318A" w:rsidRDefault="001B4DD7" w:rsidP="001B4DD7">
            <w:pPr>
              <w:pStyle w:val="xl36"/>
              <w:widowControl w:val="0"/>
              <w:snapToGrid w:val="0"/>
              <w:spacing w:beforeLines="30" w:before="108" w:after="0" w:line="340" w:lineRule="exact"/>
              <w:ind w:leftChars="20" w:left="48" w:rightChars="20" w:right="48"/>
              <w:textAlignment w:val="auto"/>
              <w:rPr>
                <w:rFonts w:ascii="標楷體" w:eastAsia="標楷體" w:hAnsi="標楷體" w:cs="DFMing-Lt-HK-BF"/>
                <w:sz w:val="24"/>
                <w:szCs w:val="24"/>
              </w:rPr>
            </w:pPr>
            <w:r w:rsidRPr="00AF318A">
              <w:rPr>
                <w:rFonts w:ascii="標楷體" w:eastAsia="標楷體" w:hAnsi="標楷體" w:cs="DFMing-Lt-HK-BF" w:hint="eastAsia"/>
                <w:sz w:val="24"/>
                <w:szCs w:val="24"/>
              </w:rPr>
              <w:t>（十五）</w:t>
            </w:r>
          </w:p>
        </w:tc>
        <w:tc>
          <w:tcPr>
            <w:tcW w:w="4473" w:type="dxa"/>
            <w:shd w:val="clear" w:color="auto" w:fill="auto"/>
          </w:tcPr>
          <w:p w:rsidR="001B4DD7" w:rsidRPr="00AF318A" w:rsidRDefault="008C6BF4" w:rsidP="004E1F0E">
            <w:pPr>
              <w:autoSpaceDE w:val="0"/>
              <w:autoSpaceDN w:val="0"/>
              <w:adjustRightInd w:val="0"/>
              <w:spacing w:beforeLines="20" w:before="72" w:line="300" w:lineRule="exact"/>
              <w:ind w:leftChars="20" w:left="48" w:rightChars="20" w:right="48"/>
              <w:jc w:val="both"/>
              <w:rPr>
                <w:rFonts w:ascii="標楷體" w:eastAsia="標楷體" w:hAnsi="標楷體"/>
                <w:snapToGrid w:val="0"/>
                <w:kern w:val="0"/>
                <w:szCs w:val="24"/>
              </w:rPr>
            </w:pPr>
            <w:r w:rsidRPr="00AF318A">
              <w:rPr>
                <w:rFonts w:ascii="標楷體" w:eastAsia="標楷體" w:hAnsi="標楷體" w:hint="eastAsia"/>
                <w:snapToGrid w:val="0"/>
                <w:kern w:val="0"/>
                <w:szCs w:val="24"/>
              </w:rPr>
              <w:t>有鑑於衛生福利部所實施之春節檢疫措施專案，實施迄今已發生數起防疫旅館群聚案件，極有可能造成台灣下一波民眾感染的破口，爰要求衛生福利部應會同交通部訂立防疫旅館之各項標準作業程序，並責成各縣市政府進行督導查核，將查核結果每月定期公布</w:t>
            </w:r>
            <w:r w:rsidR="001B4DD7" w:rsidRPr="00AF318A">
              <w:rPr>
                <w:rFonts w:ascii="標楷體" w:eastAsia="標楷體" w:hAnsi="標楷體" w:hint="eastAsia"/>
                <w:snapToGrid w:val="0"/>
                <w:kern w:val="0"/>
                <w:szCs w:val="24"/>
              </w:rPr>
              <w:t>。</w:t>
            </w:r>
          </w:p>
        </w:tc>
        <w:tc>
          <w:tcPr>
            <w:tcW w:w="4741" w:type="dxa"/>
          </w:tcPr>
          <w:p w:rsidR="001B4DD7" w:rsidRPr="00AF318A" w:rsidRDefault="003A7404" w:rsidP="00BB7522">
            <w:pPr>
              <w:pStyle w:val="a8"/>
              <w:snapToGrid w:val="0"/>
              <w:spacing w:beforeLines="30" w:before="108"/>
              <w:ind w:leftChars="20" w:left="288" w:rightChars="20" w:right="48" w:hanging="240"/>
              <w:rPr>
                <w:snapToGrid w:val="0"/>
                <w:kern w:val="0"/>
                <w:sz w:val="24"/>
                <w:szCs w:val="24"/>
              </w:rPr>
            </w:pPr>
            <w:r w:rsidRPr="00AF318A">
              <w:rPr>
                <w:rFonts w:hint="eastAsia"/>
                <w:snapToGrid w:val="0"/>
                <w:kern w:val="0"/>
                <w:sz w:val="24"/>
                <w:szCs w:val="24"/>
              </w:rPr>
              <w:t>非本會主管業務。</w:t>
            </w:r>
          </w:p>
        </w:tc>
      </w:tr>
      <w:tr w:rsidR="00AF318A" w:rsidRPr="00AF318A" w:rsidTr="00593EED">
        <w:trPr>
          <w:trHeight w:val="178"/>
        </w:trPr>
        <w:tc>
          <w:tcPr>
            <w:tcW w:w="1167" w:type="dxa"/>
          </w:tcPr>
          <w:p w:rsidR="002E2C8D" w:rsidRPr="00AF318A" w:rsidRDefault="002E2C8D" w:rsidP="002F1702">
            <w:pPr>
              <w:pStyle w:val="xl36"/>
              <w:widowControl w:val="0"/>
              <w:snapToGrid w:val="0"/>
              <w:spacing w:before="0" w:after="0" w:line="340" w:lineRule="exact"/>
              <w:ind w:leftChars="20" w:left="48" w:rightChars="20" w:right="48"/>
              <w:textAlignment w:val="auto"/>
              <w:rPr>
                <w:rFonts w:ascii="標楷體" w:eastAsia="標楷體" w:hAnsi="標楷體" w:cs="DFMing-Lt-HK-BF"/>
                <w:sz w:val="24"/>
                <w:szCs w:val="24"/>
              </w:rPr>
            </w:pPr>
          </w:p>
          <w:p w:rsidR="002E2C8D" w:rsidRPr="00AF318A" w:rsidRDefault="002E2C8D" w:rsidP="002F1702">
            <w:pPr>
              <w:pStyle w:val="xl36"/>
              <w:widowControl w:val="0"/>
              <w:spacing w:before="0" w:after="0" w:line="340" w:lineRule="exact"/>
              <w:ind w:leftChars="20" w:left="48" w:rightChars="20" w:right="48"/>
              <w:textAlignment w:val="auto"/>
              <w:rPr>
                <w:rFonts w:ascii="標楷體" w:eastAsia="標楷體" w:hAnsi="標楷體" w:cs="DFMing-Lt-HK-BF"/>
                <w:sz w:val="24"/>
                <w:szCs w:val="24"/>
              </w:rPr>
            </w:pPr>
          </w:p>
        </w:tc>
        <w:tc>
          <w:tcPr>
            <w:tcW w:w="4473" w:type="dxa"/>
            <w:shd w:val="clear" w:color="auto" w:fill="auto"/>
          </w:tcPr>
          <w:p w:rsidR="008A0B9F" w:rsidRPr="00AF318A" w:rsidRDefault="002E2C8D" w:rsidP="008A0B9F">
            <w:pPr>
              <w:pStyle w:val="a8"/>
              <w:snapToGrid w:val="0"/>
              <w:spacing w:beforeLines="30" w:before="108"/>
              <w:ind w:leftChars="20" w:left="288" w:rightChars="20" w:right="48" w:hanging="240"/>
              <w:rPr>
                <w:snapToGrid w:val="0"/>
                <w:kern w:val="0"/>
                <w:sz w:val="24"/>
                <w:szCs w:val="24"/>
              </w:rPr>
            </w:pPr>
            <w:r w:rsidRPr="00AF318A">
              <w:rPr>
                <w:rFonts w:hint="eastAsia"/>
                <w:snapToGrid w:val="0"/>
                <w:kern w:val="0"/>
                <w:sz w:val="24"/>
                <w:szCs w:val="24"/>
              </w:rPr>
              <w:t>二、各委員會審查</w:t>
            </w:r>
            <w:r w:rsidRPr="00AF318A">
              <w:rPr>
                <w:snapToGrid w:val="0"/>
                <w:kern w:val="0"/>
                <w:sz w:val="24"/>
                <w:szCs w:val="24"/>
              </w:rPr>
              <w:t>決議</w:t>
            </w:r>
            <w:r w:rsidRPr="00AF318A">
              <w:rPr>
                <w:rFonts w:hint="eastAsia"/>
                <w:snapToGrid w:val="0"/>
                <w:kern w:val="0"/>
                <w:sz w:val="24"/>
                <w:szCs w:val="24"/>
              </w:rPr>
              <w:t>部分：</w:t>
            </w:r>
          </w:p>
          <w:p w:rsidR="002E2C8D" w:rsidRPr="00AF318A" w:rsidRDefault="002E2C8D" w:rsidP="004E1F0E">
            <w:pPr>
              <w:pStyle w:val="a8"/>
              <w:snapToGrid w:val="0"/>
              <w:spacing w:beforeLines="30" w:before="108" w:line="300" w:lineRule="exact"/>
              <w:ind w:leftChars="20" w:left="288" w:rightChars="20" w:right="48" w:hanging="240"/>
              <w:rPr>
                <w:rFonts w:cs="DFMing-Lt-HK-BF"/>
                <w:kern w:val="0"/>
                <w:sz w:val="24"/>
                <w:szCs w:val="24"/>
              </w:rPr>
            </w:pPr>
            <w:r w:rsidRPr="00AF318A">
              <w:rPr>
                <w:rFonts w:cs="DFMing-Lt-HK-BF" w:hint="eastAsia"/>
                <w:kern w:val="0"/>
                <w:sz w:val="24"/>
                <w:szCs w:val="24"/>
              </w:rPr>
              <w:lastRenderedPageBreak/>
              <w:t>司法及法制委員會</w:t>
            </w:r>
          </w:p>
        </w:tc>
        <w:tc>
          <w:tcPr>
            <w:tcW w:w="4741" w:type="dxa"/>
          </w:tcPr>
          <w:p w:rsidR="002E2C8D" w:rsidRPr="00AF318A" w:rsidRDefault="002E2C8D" w:rsidP="002F1702">
            <w:pPr>
              <w:pStyle w:val="a8"/>
              <w:snapToGrid w:val="0"/>
              <w:ind w:leftChars="20" w:left="288" w:rightChars="20" w:right="48" w:hanging="240"/>
              <w:rPr>
                <w:snapToGrid w:val="0"/>
                <w:kern w:val="0"/>
                <w:sz w:val="24"/>
                <w:szCs w:val="24"/>
              </w:rPr>
            </w:pPr>
          </w:p>
          <w:p w:rsidR="002E2C8D" w:rsidRPr="00AF318A" w:rsidRDefault="002E2C8D" w:rsidP="002F1702">
            <w:pPr>
              <w:pStyle w:val="a8"/>
              <w:snapToGrid w:val="0"/>
              <w:ind w:leftChars="20" w:left="288" w:rightChars="20" w:right="48" w:hanging="240"/>
              <w:rPr>
                <w:snapToGrid w:val="0"/>
                <w:kern w:val="0"/>
                <w:sz w:val="24"/>
                <w:szCs w:val="24"/>
              </w:rPr>
            </w:pPr>
          </w:p>
        </w:tc>
      </w:tr>
      <w:tr w:rsidR="00AF318A" w:rsidRPr="00AF318A" w:rsidTr="00593EED">
        <w:trPr>
          <w:trHeight w:val="178"/>
        </w:trPr>
        <w:tc>
          <w:tcPr>
            <w:tcW w:w="1167" w:type="dxa"/>
          </w:tcPr>
          <w:p w:rsidR="00040FEA" w:rsidRPr="00AF318A" w:rsidRDefault="00040FEA" w:rsidP="002F1702">
            <w:pPr>
              <w:pStyle w:val="xl36"/>
              <w:widowControl w:val="0"/>
              <w:snapToGrid w:val="0"/>
              <w:spacing w:before="0" w:after="0" w:line="340" w:lineRule="exact"/>
              <w:ind w:leftChars="20" w:left="48" w:rightChars="20" w:right="48"/>
              <w:textAlignment w:val="auto"/>
              <w:rPr>
                <w:rFonts w:ascii="標楷體" w:eastAsia="標楷體" w:hAnsi="標楷體" w:cs="DFMing-Lt-HK-BF"/>
                <w:sz w:val="24"/>
                <w:szCs w:val="24"/>
              </w:rPr>
            </w:pPr>
          </w:p>
        </w:tc>
        <w:tc>
          <w:tcPr>
            <w:tcW w:w="4473" w:type="dxa"/>
            <w:shd w:val="clear" w:color="auto" w:fill="auto"/>
          </w:tcPr>
          <w:p w:rsidR="00040FEA" w:rsidRPr="00AF318A" w:rsidRDefault="00040FEA" w:rsidP="004E1F0E">
            <w:pPr>
              <w:pStyle w:val="a8"/>
              <w:adjustRightInd w:val="0"/>
              <w:snapToGrid w:val="0"/>
              <w:spacing w:beforeLines="30" w:before="108" w:line="220" w:lineRule="exact"/>
              <w:ind w:leftChars="20" w:left="48" w:rightChars="20" w:right="48" w:firstLineChars="98" w:firstLine="235"/>
              <w:rPr>
                <w:snapToGrid w:val="0"/>
                <w:kern w:val="0"/>
                <w:sz w:val="24"/>
                <w:szCs w:val="24"/>
              </w:rPr>
            </w:pPr>
            <w:r w:rsidRPr="00AF318A">
              <w:rPr>
                <w:rFonts w:hint="eastAsia"/>
                <w:snapToGrid w:val="0"/>
                <w:kern w:val="0"/>
                <w:sz w:val="24"/>
                <w:szCs w:val="24"/>
              </w:rPr>
              <w:t>歲出</w:t>
            </w:r>
          </w:p>
          <w:p w:rsidR="00040FEA" w:rsidRPr="00AF318A" w:rsidRDefault="00040FEA" w:rsidP="002F1702">
            <w:pPr>
              <w:pStyle w:val="a8"/>
              <w:snapToGrid w:val="0"/>
              <w:ind w:leftChars="20" w:left="288" w:rightChars="20" w:right="48" w:hanging="240"/>
              <w:rPr>
                <w:snapToGrid w:val="0"/>
                <w:kern w:val="0"/>
                <w:sz w:val="24"/>
                <w:szCs w:val="24"/>
              </w:rPr>
            </w:pPr>
            <w:r w:rsidRPr="00AF318A">
              <w:rPr>
                <w:rFonts w:hint="eastAsia"/>
                <w:snapToGrid w:val="0"/>
                <w:kern w:val="0"/>
                <w:sz w:val="24"/>
                <w:szCs w:val="24"/>
              </w:rPr>
              <w:t xml:space="preserve">  公務人員退休撫卹基金管理委員會</w:t>
            </w:r>
          </w:p>
        </w:tc>
        <w:tc>
          <w:tcPr>
            <w:tcW w:w="4741" w:type="dxa"/>
          </w:tcPr>
          <w:p w:rsidR="00040FEA" w:rsidRPr="00AF318A" w:rsidRDefault="00040FEA" w:rsidP="002F1702">
            <w:pPr>
              <w:pStyle w:val="a8"/>
              <w:snapToGrid w:val="0"/>
              <w:ind w:leftChars="20" w:left="288" w:rightChars="20" w:right="48" w:hanging="240"/>
              <w:rPr>
                <w:snapToGrid w:val="0"/>
                <w:kern w:val="0"/>
                <w:sz w:val="24"/>
                <w:szCs w:val="24"/>
              </w:rPr>
            </w:pPr>
          </w:p>
        </w:tc>
      </w:tr>
      <w:tr w:rsidR="00AF318A" w:rsidRPr="00AF318A" w:rsidTr="00E8595E">
        <w:trPr>
          <w:trHeight w:val="1657"/>
        </w:trPr>
        <w:tc>
          <w:tcPr>
            <w:tcW w:w="1167" w:type="dxa"/>
          </w:tcPr>
          <w:p w:rsidR="0047102C" w:rsidRPr="00AF318A" w:rsidRDefault="0047102C" w:rsidP="0047102C">
            <w:pPr>
              <w:pStyle w:val="xl36"/>
              <w:widowControl w:val="0"/>
              <w:snapToGrid w:val="0"/>
              <w:spacing w:before="0" w:after="0" w:line="340" w:lineRule="exact"/>
              <w:ind w:leftChars="20" w:left="48" w:rightChars="20" w:right="48"/>
              <w:textAlignment w:val="auto"/>
              <w:rPr>
                <w:rFonts w:ascii="標楷體" w:eastAsia="標楷體" w:hAnsi="標楷體" w:cs="DFMing-Lt-HK-BF"/>
                <w:sz w:val="24"/>
                <w:szCs w:val="24"/>
              </w:rPr>
            </w:pPr>
            <w:r w:rsidRPr="00AF318A">
              <w:rPr>
                <w:rFonts w:ascii="標楷體" w:eastAsia="標楷體" w:hAnsi="標楷體" w:cs="DFMing-Lt-HK-BF" w:hint="eastAsia"/>
                <w:sz w:val="24"/>
                <w:szCs w:val="24"/>
              </w:rPr>
              <w:t>(一)</w:t>
            </w:r>
          </w:p>
        </w:tc>
        <w:tc>
          <w:tcPr>
            <w:tcW w:w="4473" w:type="dxa"/>
            <w:shd w:val="clear" w:color="auto" w:fill="auto"/>
          </w:tcPr>
          <w:p w:rsidR="00A417AE" w:rsidRPr="00AF318A" w:rsidRDefault="00E95A6B" w:rsidP="00A417AE">
            <w:pPr>
              <w:pStyle w:val="a8"/>
              <w:snapToGrid w:val="0"/>
              <w:spacing w:afterLines="50" w:after="180"/>
              <w:ind w:leftChars="20" w:left="48" w:rightChars="20" w:right="48" w:firstLineChars="0" w:firstLine="0"/>
              <w:rPr>
                <w:snapToGrid w:val="0"/>
                <w:kern w:val="0"/>
                <w:sz w:val="24"/>
                <w:szCs w:val="24"/>
              </w:rPr>
            </w:pPr>
            <w:r w:rsidRPr="00AF318A">
              <w:rPr>
                <w:rFonts w:hint="eastAsia"/>
                <w:sz w:val="24"/>
              </w:rPr>
              <w:t>111年度公務人員退休撫卹基金管理委員會歲出預算第2目「退撫基金管理」編列3,090萬9千元，凍結20萬元，俟向立法院司法及法制委員會提出書面報告後，始得動支</w:t>
            </w:r>
            <w:r w:rsidR="0047102C" w:rsidRPr="00AF318A">
              <w:rPr>
                <w:rFonts w:hint="eastAsia"/>
                <w:snapToGrid w:val="0"/>
                <w:kern w:val="0"/>
                <w:sz w:val="24"/>
                <w:szCs w:val="24"/>
              </w:rPr>
              <w:t>。</w:t>
            </w:r>
          </w:p>
        </w:tc>
        <w:tc>
          <w:tcPr>
            <w:tcW w:w="4741" w:type="dxa"/>
          </w:tcPr>
          <w:p w:rsidR="00A417AE" w:rsidRDefault="00A417AE" w:rsidP="004E1F0E">
            <w:pPr>
              <w:pStyle w:val="a8"/>
              <w:snapToGrid w:val="0"/>
              <w:spacing w:line="320" w:lineRule="exact"/>
              <w:ind w:leftChars="20" w:left="48" w:rightChars="20" w:right="48" w:firstLineChars="0" w:firstLine="0"/>
              <w:rPr>
                <w:snapToGrid w:val="0"/>
                <w:kern w:val="0"/>
                <w:sz w:val="24"/>
                <w:szCs w:val="24"/>
              </w:rPr>
            </w:pPr>
            <w:r>
              <w:rPr>
                <w:rFonts w:hint="eastAsia"/>
                <w:sz w:val="24"/>
                <w:szCs w:val="20"/>
              </w:rPr>
              <w:t>本案</w:t>
            </w:r>
            <w:r w:rsidRPr="00AF318A">
              <w:rPr>
                <w:rFonts w:hint="eastAsia"/>
                <w:sz w:val="24"/>
                <w:szCs w:val="20"/>
              </w:rPr>
              <w:t>書面報告</w:t>
            </w:r>
            <w:r>
              <w:rPr>
                <w:rFonts w:hint="eastAsia"/>
                <w:sz w:val="24"/>
                <w:szCs w:val="20"/>
              </w:rPr>
              <w:t>業</w:t>
            </w:r>
            <w:r w:rsidRPr="00AF318A">
              <w:rPr>
                <w:rFonts w:hint="eastAsia"/>
                <w:sz w:val="24"/>
                <w:szCs w:val="20"/>
              </w:rPr>
              <w:t>於</w:t>
            </w:r>
            <w:r w:rsidRPr="00AF318A">
              <w:rPr>
                <w:sz w:val="24"/>
                <w:szCs w:val="20"/>
              </w:rPr>
              <w:t>111</w:t>
            </w:r>
            <w:r w:rsidRPr="00AF318A">
              <w:rPr>
                <w:rFonts w:hint="eastAsia"/>
                <w:sz w:val="24"/>
                <w:szCs w:val="20"/>
              </w:rPr>
              <w:t>年</w:t>
            </w:r>
            <w:r w:rsidRPr="00AF318A">
              <w:rPr>
                <w:sz w:val="24"/>
                <w:szCs w:val="20"/>
              </w:rPr>
              <w:t>3</w:t>
            </w:r>
            <w:r w:rsidRPr="00AF318A">
              <w:rPr>
                <w:rFonts w:hint="eastAsia"/>
                <w:sz w:val="24"/>
                <w:szCs w:val="20"/>
              </w:rPr>
              <w:t>月</w:t>
            </w:r>
            <w:r w:rsidRPr="00AF318A">
              <w:rPr>
                <w:sz w:val="24"/>
                <w:szCs w:val="20"/>
              </w:rPr>
              <w:t>3</w:t>
            </w:r>
            <w:r w:rsidRPr="00AF318A">
              <w:rPr>
                <w:rFonts w:hint="eastAsia"/>
                <w:sz w:val="24"/>
                <w:szCs w:val="20"/>
              </w:rPr>
              <w:t>日以台管</w:t>
            </w:r>
            <w:r w:rsidRPr="00AF318A">
              <w:rPr>
                <w:rFonts w:hint="eastAsia"/>
                <w:sz w:val="24"/>
                <w:szCs w:val="20"/>
                <w:lang w:eastAsia="zh-HK"/>
              </w:rPr>
              <w:t>稽</w:t>
            </w:r>
            <w:r w:rsidRPr="00AF318A">
              <w:rPr>
                <w:rFonts w:hint="eastAsia"/>
                <w:sz w:val="24"/>
                <w:szCs w:val="20"/>
              </w:rPr>
              <w:t>字第</w:t>
            </w:r>
            <w:smartTag w:uri="urn:schemas-microsoft-com:office:smarttags" w:element="chmetcnv">
              <w:smartTagPr>
                <w:attr w:name="TCSC" w:val="0"/>
                <w:attr w:name="NumberType" w:val="1"/>
                <w:attr w:name="Negative" w:val="False"/>
                <w:attr w:name="HasSpace" w:val="False"/>
                <w:attr w:name="SourceValue" w:val="1111633286"/>
                <w:attr w:name="UnitName" w:val="a"/>
              </w:smartTagPr>
              <w:r w:rsidRPr="00AF318A">
                <w:rPr>
                  <w:sz w:val="24"/>
                  <w:szCs w:val="20"/>
                </w:rPr>
                <w:t>1111633286A</w:t>
              </w:r>
            </w:smartTag>
            <w:r w:rsidRPr="00AF318A">
              <w:rPr>
                <w:rFonts w:hint="eastAsia"/>
                <w:sz w:val="24"/>
                <w:szCs w:val="20"/>
              </w:rPr>
              <w:t>號函請銓敘部核轉，並由銓敘部於</w:t>
            </w:r>
            <w:r w:rsidRPr="00AF318A">
              <w:rPr>
                <w:sz w:val="24"/>
                <w:szCs w:val="20"/>
              </w:rPr>
              <w:t>111</w:t>
            </w:r>
            <w:r w:rsidRPr="00AF318A">
              <w:rPr>
                <w:rFonts w:hint="eastAsia"/>
                <w:sz w:val="24"/>
                <w:szCs w:val="20"/>
              </w:rPr>
              <w:t>年</w:t>
            </w:r>
            <w:r w:rsidRPr="00AF318A">
              <w:rPr>
                <w:sz w:val="24"/>
                <w:szCs w:val="20"/>
              </w:rPr>
              <w:t>3</w:t>
            </w:r>
            <w:r w:rsidRPr="00AF318A">
              <w:rPr>
                <w:rFonts w:hint="eastAsia"/>
                <w:sz w:val="24"/>
                <w:szCs w:val="20"/>
              </w:rPr>
              <w:t>月</w:t>
            </w:r>
            <w:r w:rsidRPr="00AF318A">
              <w:rPr>
                <w:sz w:val="24"/>
                <w:szCs w:val="20"/>
              </w:rPr>
              <w:t>9</w:t>
            </w:r>
            <w:r w:rsidRPr="00AF318A">
              <w:rPr>
                <w:rFonts w:hint="eastAsia"/>
                <w:sz w:val="24"/>
                <w:szCs w:val="20"/>
              </w:rPr>
              <w:t>日以部</w:t>
            </w:r>
            <w:r w:rsidRPr="00AF318A">
              <w:rPr>
                <w:rFonts w:hint="eastAsia"/>
                <w:sz w:val="24"/>
                <w:szCs w:val="20"/>
                <w:lang w:eastAsia="zh-HK"/>
              </w:rPr>
              <w:t>退三</w:t>
            </w:r>
            <w:r w:rsidRPr="00AF318A">
              <w:rPr>
                <w:rFonts w:hint="eastAsia"/>
                <w:sz w:val="24"/>
                <w:szCs w:val="20"/>
              </w:rPr>
              <w:t>字第</w:t>
            </w:r>
            <w:r w:rsidRPr="00AF318A">
              <w:rPr>
                <w:sz w:val="24"/>
                <w:szCs w:val="20"/>
              </w:rPr>
              <w:t>1115430920</w:t>
            </w:r>
            <w:r w:rsidRPr="00AF318A">
              <w:rPr>
                <w:rFonts w:hint="eastAsia"/>
                <w:sz w:val="24"/>
                <w:szCs w:val="20"/>
              </w:rPr>
              <w:t>號函陳立法院</w:t>
            </w:r>
            <w:r>
              <w:rPr>
                <w:rFonts w:hint="eastAsia"/>
                <w:sz w:val="24"/>
                <w:szCs w:val="20"/>
              </w:rPr>
              <w:t>，</w:t>
            </w:r>
            <w:r w:rsidRPr="00AF318A">
              <w:rPr>
                <w:rFonts w:hint="eastAsia"/>
                <w:sz w:val="24"/>
                <w:szCs w:val="20"/>
              </w:rPr>
              <w:t>經立法院第</w:t>
            </w:r>
            <w:r w:rsidRPr="00AF318A">
              <w:rPr>
                <w:sz w:val="24"/>
                <w:szCs w:val="20"/>
              </w:rPr>
              <w:t>10</w:t>
            </w:r>
            <w:r w:rsidRPr="00AF318A">
              <w:rPr>
                <w:rFonts w:hint="eastAsia"/>
                <w:sz w:val="24"/>
                <w:szCs w:val="20"/>
              </w:rPr>
              <w:t>屆第</w:t>
            </w:r>
            <w:r w:rsidRPr="00AF318A">
              <w:rPr>
                <w:sz w:val="24"/>
                <w:szCs w:val="20"/>
              </w:rPr>
              <w:t>5</w:t>
            </w:r>
            <w:r w:rsidRPr="00AF318A">
              <w:rPr>
                <w:rFonts w:hint="eastAsia"/>
                <w:sz w:val="24"/>
                <w:szCs w:val="20"/>
              </w:rPr>
              <w:t>會期第</w:t>
            </w:r>
            <w:r>
              <w:rPr>
                <w:rFonts w:hint="eastAsia"/>
                <w:sz w:val="24"/>
                <w:szCs w:val="20"/>
              </w:rPr>
              <w:t>7</w:t>
            </w:r>
            <w:r w:rsidRPr="00AF318A">
              <w:rPr>
                <w:rFonts w:hint="eastAsia"/>
                <w:sz w:val="24"/>
                <w:szCs w:val="20"/>
              </w:rPr>
              <w:t>次會議決定交司法及法制委員會處理在案</w:t>
            </w:r>
            <w:r>
              <w:rPr>
                <w:rFonts w:hint="eastAsia"/>
                <w:snapToGrid w:val="0"/>
                <w:kern w:val="0"/>
                <w:sz w:val="24"/>
                <w:szCs w:val="24"/>
              </w:rPr>
              <w:t>，</w:t>
            </w:r>
            <w:r>
              <w:rPr>
                <w:rFonts w:hint="eastAsia"/>
                <w:snapToGrid w:val="0"/>
                <w:kern w:val="0"/>
                <w:sz w:val="24"/>
                <w:szCs w:val="24"/>
                <w:lang w:eastAsia="zh-HK"/>
              </w:rPr>
              <w:t>茲</w:t>
            </w:r>
            <w:r w:rsidRPr="004554EE">
              <w:rPr>
                <w:rFonts w:hint="eastAsia"/>
                <w:snapToGrid w:val="0"/>
                <w:kern w:val="0"/>
                <w:sz w:val="24"/>
                <w:szCs w:val="24"/>
              </w:rPr>
              <w:t>摘述內容如下：</w:t>
            </w:r>
          </w:p>
          <w:p w:rsidR="00A417AE" w:rsidRPr="00396494" w:rsidRDefault="00A417AE" w:rsidP="004E1F0E">
            <w:pPr>
              <w:pStyle w:val="a8"/>
              <w:spacing w:line="320" w:lineRule="exact"/>
              <w:ind w:leftChars="1" w:left="458" w:rightChars="20" w:right="48" w:hangingChars="190" w:hanging="456"/>
              <w:rPr>
                <w:sz w:val="24"/>
                <w:szCs w:val="20"/>
              </w:rPr>
            </w:pPr>
            <w:r w:rsidRPr="00396494">
              <w:rPr>
                <w:rFonts w:hint="eastAsia"/>
                <w:snapToGrid w:val="0"/>
                <w:kern w:val="0"/>
                <w:sz w:val="24"/>
                <w:szCs w:val="24"/>
              </w:rPr>
              <w:t>壹</w:t>
            </w:r>
            <w:r w:rsidRPr="00396494">
              <w:rPr>
                <w:rFonts w:hint="eastAsia"/>
                <w:sz w:val="24"/>
                <w:szCs w:val="20"/>
              </w:rPr>
              <w:t>、現行稽核國外委託經營業務之強度及執　行方式檢討</w:t>
            </w:r>
          </w:p>
          <w:p w:rsidR="0047102C" w:rsidRDefault="00A417AE" w:rsidP="004E1F0E">
            <w:pPr>
              <w:pStyle w:val="a8"/>
              <w:snapToGrid w:val="0"/>
              <w:spacing w:line="320" w:lineRule="exact"/>
              <w:ind w:leftChars="20" w:left="48" w:rightChars="20" w:right="48" w:firstLineChars="0" w:firstLine="0"/>
              <w:rPr>
                <w:snapToGrid w:val="0"/>
                <w:kern w:val="0"/>
                <w:sz w:val="24"/>
                <w:szCs w:val="24"/>
              </w:rPr>
            </w:pPr>
            <w:r w:rsidRPr="002F1C29">
              <w:rPr>
                <w:rFonts w:hint="eastAsia"/>
                <w:snapToGrid w:val="0"/>
                <w:kern w:val="0"/>
                <w:sz w:val="24"/>
                <w:szCs w:val="24"/>
              </w:rPr>
              <w:t>對於國外</w:t>
            </w:r>
            <w:r>
              <w:rPr>
                <w:rFonts w:hint="eastAsia"/>
                <w:snapToGrid w:val="0"/>
                <w:kern w:val="0"/>
                <w:sz w:val="24"/>
                <w:szCs w:val="24"/>
                <w:lang w:eastAsia="zh-HK"/>
              </w:rPr>
              <w:t>委</w:t>
            </w:r>
            <w:r w:rsidRPr="002F1C29">
              <w:rPr>
                <w:rFonts w:hint="eastAsia"/>
                <w:snapToGrid w:val="0"/>
                <w:kern w:val="0"/>
                <w:sz w:val="24"/>
                <w:szCs w:val="24"/>
              </w:rPr>
              <w:t>託</w:t>
            </w:r>
            <w:r>
              <w:rPr>
                <w:rFonts w:hint="eastAsia"/>
                <w:snapToGrid w:val="0"/>
                <w:kern w:val="0"/>
                <w:sz w:val="24"/>
                <w:szCs w:val="24"/>
                <w:lang w:eastAsia="zh-HK"/>
              </w:rPr>
              <w:t>業務</w:t>
            </w:r>
            <w:r w:rsidRPr="002F1C29">
              <w:rPr>
                <w:rFonts w:hint="eastAsia"/>
                <w:snapToGrid w:val="0"/>
                <w:kern w:val="0"/>
                <w:sz w:val="24"/>
                <w:szCs w:val="24"/>
              </w:rPr>
              <w:t>之管控除日常監管與定期稽核外，自100年度起，每年均派員至受託機構指定之處所進行為期約一週之實地訪察。此外，</w:t>
            </w:r>
            <w:r w:rsidRPr="002F1C29">
              <w:rPr>
                <w:rFonts w:hint="eastAsia"/>
                <w:snapToGrid w:val="0"/>
                <w:kern w:val="0"/>
                <w:sz w:val="24"/>
                <w:szCs w:val="24"/>
                <w:lang w:eastAsia="zh-HK"/>
              </w:rPr>
              <w:t>如有</w:t>
            </w:r>
            <w:r w:rsidRPr="002F1C29">
              <w:rPr>
                <w:rFonts w:hint="eastAsia"/>
                <w:snapToGrid w:val="0"/>
                <w:kern w:val="0"/>
                <w:sz w:val="24"/>
                <w:szCs w:val="24"/>
              </w:rPr>
              <w:t>越權交易，受託機構須執行「回復原狀」處理，基金管理會將持續追蹤至改善完竣為止。</w:t>
            </w:r>
            <w:r>
              <w:rPr>
                <w:rFonts w:hint="eastAsia"/>
                <w:snapToGrid w:val="0"/>
                <w:kern w:val="0"/>
                <w:sz w:val="24"/>
                <w:szCs w:val="24"/>
                <w:lang w:eastAsia="zh-HK"/>
              </w:rPr>
              <w:t>另</w:t>
            </w:r>
            <w:r w:rsidRPr="002F1C29">
              <w:rPr>
                <w:rFonts w:hint="eastAsia"/>
                <w:snapToGrid w:val="0"/>
                <w:kern w:val="0"/>
                <w:sz w:val="24"/>
                <w:szCs w:val="24"/>
              </w:rPr>
              <w:t>為強化國外委託經營稽核強度，基金管理會自108年度終了後將當年發生之缺失事項，彙整函請受託機構特別注意</w:t>
            </w:r>
            <w:r>
              <w:rPr>
                <w:rFonts w:hint="eastAsia"/>
                <w:snapToGrid w:val="0"/>
                <w:kern w:val="0"/>
                <w:sz w:val="24"/>
                <w:szCs w:val="24"/>
              </w:rPr>
              <w:t>，</w:t>
            </w:r>
            <w:r w:rsidRPr="002F1C29">
              <w:rPr>
                <w:rFonts w:hint="eastAsia"/>
                <w:snapToGrid w:val="0"/>
                <w:kern w:val="0"/>
                <w:sz w:val="24"/>
                <w:szCs w:val="24"/>
              </w:rPr>
              <w:t>日後並將考量針對績效表現不佳或越權交易事項次數較多之受託機構列為優先執行實地訪察對象。</w:t>
            </w:r>
          </w:p>
          <w:p w:rsidR="00025F4B" w:rsidRPr="00396494" w:rsidRDefault="00025F4B" w:rsidP="00025F4B">
            <w:pPr>
              <w:pStyle w:val="a8"/>
              <w:ind w:leftChars="20" w:left="458" w:rightChars="20" w:right="48" w:hangingChars="171" w:hanging="410"/>
              <w:rPr>
                <w:snapToGrid w:val="0"/>
                <w:kern w:val="0"/>
                <w:sz w:val="24"/>
                <w:szCs w:val="24"/>
              </w:rPr>
            </w:pPr>
            <w:r w:rsidRPr="00396494">
              <w:rPr>
                <w:rFonts w:hint="eastAsia"/>
                <w:snapToGrid w:val="0"/>
                <w:kern w:val="0"/>
                <w:sz w:val="24"/>
                <w:szCs w:val="24"/>
              </w:rPr>
              <w:t>貳、財務永續規劃</w:t>
            </w:r>
          </w:p>
          <w:p w:rsidR="00025F4B" w:rsidRPr="00025F4B" w:rsidRDefault="00025F4B" w:rsidP="004E1F0E">
            <w:pPr>
              <w:pStyle w:val="a8"/>
              <w:snapToGrid w:val="0"/>
              <w:spacing w:line="320" w:lineRule="exact"/>
              <w:ind w:leftChars="20" w:left="48" w:rightChars="20" w:right="48" w:firstLineChars="0" w:firstLine="0"/>
              <w:rPr>
                <w:snapToGrid w:val="0"/>
                <w:kern w:val="0"/>
                <w:sz w:val="24"/>
                <w:szCs w:val="24"/>
              </w:rPr>
            </w:pPr>
            <w:r>
              <w:rPr>
                <w:rFonts w:hint="eastAsia"/>
                <w:snapToGrid w:val="0"/>
                <w:kern w:val="0"/>
                <w:sz w:val="24"/>
                <w:szCs w:val="24"/>
              </w:rPr>
              <w:t xml:space="preserve">    </w:t>
            </w:r>
            <w:r w:rsidRPr="00396494">
              <w:rPr>
                <w:rFonts w:hint="eastAsia"/>
                <w:snapToGrid w:val="0"/>
                <w:kern w:val="0"/>
                <w:sz w:val="24"/>
                <w:szCs w:val="24"/>
              </w:rPr>
              <w:t>為改善軍公教人員退撫基金收支失衡狀況，自107年7月年金改革後，軍公教人員調降退撫所得節省經費持續挹注退撫基金，且現行軍公教退撫基金提撥率自110年起由13％逐年調升至15％，同步由收入及支出兩面向開源節流，並積極採取提升績效之各項措施以提高基金之投資收益率，藉此達成退撫基金財務永續之目標。</w:t>
            </w:r>
          </w:p>
        </w:tc>
      </w:tr>
      <w:tr w:rsidR="00A417AE" w:rsidRPr="00AF318A" w:rsidTr="00593EED">
        <w:trPr>
          <w:trHeight w:val="178"/>
        </w:trPr>
        <w:tc>
          <w:tcPr>
            <w:tcW w:w="1167" w:type="dxa"/>
          </w:tcPr>
          <w:p w:rsidR="00A417AE" w:rsidRPr="00AF318A" w:rsidRDefault="00A417AE" w:rsidP="00A417AE">
            <w:pPr>
              <w:pStyle w:val="xl36"/>
              <w:widowControl w:val="0"/>
              <w:snapToGrid w:val="0"/>
              <w:spacing w:before="0" w:after="0" w:line="340" w:lineRule="exact"/>
              <w:ind w:leftChars="20" w:left="48" w:rightChars="20" w:right="48"/>
              <w:textAlignment w:val="auto"/>
              <w:rPr>
                <w:rFonts w:ascii="標楷體" w:eastAsia="標楷體" w:hAnsi="標楷體" w:cs="DFMing-Lt-HK-BF"/>
                <w:sz w:val="24"/>
                <w:szCs w:val="24"/>
              </w:rPr>
            </w:pPr>
            <w:r w:rsidRPr="00AF318A">
              <w:rPr>
                <w:rFonts w:ascii="標楷體" w:eastAsia="標楷體" w:hAnsi="標楷體" w:cs="DFMing-Lt-HK-BF" w:hint="eastAsia"/>
                <w:sz w:val="24"/>
                <w:szCs w:val="24"/>
              </w:rPr>
              <w:t>（二）</w:t>
            </w:r>
          </w:p>
        </w:tc>
        <w:tc>
          <w:tcPr>
            <w:tcW w:w="4473" w:type="dxa"/>
            <w:shd w:val="clear" w:color="auto" w:fill="auto"/>
          </w:tcPr>
          <w:p w:rsidR="00A417AE" w:rsidRPr="00AF318A" w:rsidRDefault="00A417AE" w:rsidP="00A417AE">
            <w:pPr>
              <w:pStyle w:val="a8"/>
              <w:snapToGrid w:val="0"/>
              <w:spacing w:afterLines="50" w:after="180"/>
              <w:ind w:leftChars="20" w:left="48" w:rightChars="20" w:right="48" w:firstLineChars="0" w:firstLine="0"/>
              <w:rPr>
                <w:snapToGrid w:val="0"/>
                <w:kern w:val="0"/>
                <w:sz w:val="24"/>
                <w:szCs w:val="24"/>
              </w:rPr>
            </w:pPr>
            <w:r w:rsidRPr="00AF318A">
              <w:rPr>
                <w:rFonts w:hint="eastAsia"/>
                <w:sz w:val="24"/>
                <w:szCs w:val="24"/>
              </w:rPr>
              <w:t>公務人員退撫基金之績效，依據審計部109年決算之審核報告，100至109</w:t>
            </w:r>
            <w:r>
              <w:rPr>
                <w:rFonts w:hint="eastAsia"/>
                <w:sz w:val="24"/>
                <w:szCs w:val="24"/>
              </w:rPr>
              <w:t>年間，未達成精算報告設</w:t>
            </w:r>
            <w:r w:rsidRPr="00AF318A">
              <w:rPr>
                <w:rFonts w:hint="eastAsia"/>
                <w:sz w:val="24"/>
                <w:szCs w:val="24"/>
              </w:rPr>
              <w:t>8.1%投資報酬率指標之年度，多達7年；前揭審核報告並指出，對於委託國外交易機構若有越權交易，尚乏實地訪查機制以供查核。爰請公務人員退休撫卹基金管理委員會就前揭事項，提</w:t>
            </w:r>
            <w:r w:rsidRPr="00AF318A">
              <w:rPr>
                <w:rFonts w:hint="eastAsia"/>
                <w:sz w:val="24"/>
                <w:szCs w:val="24"/>
              </w:rPr>
              <w:lastRenderedPageBreak/>
              <w:t>出書面報告送立法院司法及法制委員會</w:t>
            </w:r>
            <w:r w:rsidRPr="00AF318A">
              <w:rPr>
                <w:rFonts w:hint="eastAsia"/>
                <w:snapToGrid w:val="0"/>
                <w:kern w:val="0"/>
                <w:sz w:val="24"/>
                <w:szCs w:val="24"/>
              </w:rPr>
              <w:t>。</w:t>
            </w:r>
          </w:p>
        </w:tc>
        <w:tc>
          <w:tcPr>
            <w:tcW w:w="4741" w:type="dxa"/>
          </w:tcPr>
          <w:p w:rsidR="00A417AE" w:rsidRPr="00396494" w:rsidRDefault="00A417AE" w:rsidP="004E1F0E">
            <w:pPr>
              <w:pStyle w:val="a8"/>
              <w:snapToGrid w:val="0"/>
              <w:spacing w:line="320" w:lineRule="exact"/>
              <w:ind w:leftChars="20" w:left="48" w:rightChars="20" w:right="48" w:firstLineChars="0" w:firstLine="0"/>
              <w:rPr>
                <w:snapToGrid w:val="0"/>
                <w:kern w:val="0"/>
                <w:sz w:val="24"/>
                <w:szCs w:val="24"/>
              </w:rPr>
            </w:pPr>
            <w:r>
              <w:rPr>
                <w:rFonts w:hint="eastAsia"/>
                <w:sz w:val="24"/>
                <w:szCs w:val="20"/>
              </w:rPr>
              <w:lastRenderedPageBreak/>
              <w:t>本案</w:t>
            </w:r>
            <w:r w:rsidRPr="00AF318A">
              <w:rPr>
                <w:rFonts w:hint="eastAsia"/>
                <w:sz w:val="24"/>
                <w:szCs w:val="20"/>
              </w:rPr>
              <w:t>書面報告</w:t>
            </w:r>
            <w:r>
              <w:rPr>
                <w:rFonts w:hint="eastAsia"/>
                <w:sz w:val="24"/>
                <w:szCs w:val="20"/>
              </w:rPr>
              <w:t>業於</w:t>
            </w:r>
            <w:r w:rsidRPr="00AF318A">
              <w:rPr>
                <w:sz w:val="24"/>
                <w:szCs w:val="20"/>
              </w:rPr>
              <w:t>111</w:t>
            </w:r>
            <w:r w:rsidRPr="00AF318A">
              <w:rPr>
                <w:rFonts w:hint="eastAsia"/>
                <w:sz w:val="24"/>
                <w:szCs w:val="20"/>
              </w:rPr>
              <w:t>年</w:t>
            </w:r>
            <w:r w:rsidRPr="00AF318A">
              <w:rPr>
                <w:sz w:val="24"/>
                <w:szCs w:val="20"/>
              </w:rPr>
              <w:t>3</w:t>
            </w:r>
            <w:r w:rsidRPr="00AF318A">
              <w:rPr>
                <w:rFonts w:hint="eastAsia"/>
                <w:sz w:val="24"/>
                <w:szCs w:val="20"/>
              </w:rPr>
              <w:t>月</w:t>
            </w:r>
            <w:r w:rsidRPr="00AF318A">
              <w:rPr>
                <w:sz w:val="24"/>
                <w:szCs w:val="20"/>
              </w:rPr>
              <w:t>3</w:t>
            </w:r>
            <w:r w:rsidRPr="00AF318A">
              <w:rPr>
                <w:rFonts w:hint="eastAsia"/>
                <w:sz w:val="24"/>
                <w:szCs w:val="20"/>
              </w:rPr>
              <w:t>日以台管</w:t>
            </w:r>
            <w:r w:rsidRPr="00AF318A">
              <w:rPr>
                <w:rFonts w:hint="eastAsia"/>
                <w:sz w:val="24"/>
                <w:szCs w:val="20"/>
                <w:lang w:eastAsia="zh-HK"/>
              </w:rPr>
              <w:t>稽</w:t>
            </w:r>
            <w:r w:rsidRPr="00AF318A">
              <w:rPr>
                <w:rFonts w:hint="eastAsia"/>
                <w:sz w:val="24"/>
                <w:szCs w:val="20"/>
              </w:rPr>
              <w:t>字第</w:t>
            </w:r>
            <w:r w:rsidRPr="00AF318A">
              <w:rPr>
                <w:sz w:val="24"/>
                <w:szCs w:val="20"/>
              </w:rPr>
              <w:t>1111633286B</w:t>
            </w:r>
            <w:r w:rsidRPr="00AF318A">
              <w:rPr>
                <w:rFonts w:hint="eastAsia"/>
                <w:sz w:val="24"/>
                <w:szCs w:val="20"/>
              </w:rPr>
              <w:t>號函請銓敘部核轉，並由銓敘部於</w:t>
            </w:r>
            <w:r w:rsidRPr="00AF318A">
              <w:rPr>
                <w:sz w:val="24"/>
                <w:szCs w:val="20"/>
              </w:rPr>
              <w:t>111</w:t>
            </w:r>
            <w:r w:rsidRPr="00AF318A">
              <w:rPr>
                <w:rFonts w:hint="eastAsia"/>
                <w:sz w:val="24"/>
                <w:szCs w:val="20"/>
              </w:rPr>
              <w:t>年</w:t>
            </w:r>
            <w:r>
              <w:rPr>
                <w:rFonts w:hint="eastAsia"/>
                <w:sz w:val="24"/>
                <w:szCs w:val="20"/>
              </w:rPr>
              <w:t>3</w:t>
            </w:r>
            <w:r w:rsidRPr="00AF318A">
              <w:rPr>
                <w:rFonts w:hint="eastAsia"/>
                <w:sz w:val="24"/>
                <w:szCs w:val="20"/>
              </w:rPr>
              <w:t>月</w:t>
            </w:r>
            <w:r w:rsidRPr="00AF318A">
              <w:rPr>
                <w:sz w:val="24"/>
                <w:szCs w:val="20"/>
              </w:rPr>
              <w:t>9</w:t>
            </w:r>
            <w:r w:rsidRPr="00AF318A">
              <w:rPr>
                <w:rFonts w:hint="eastAsia"/>
                <w:sz w:val="24"/>
                <w:szCs w:val="20"/>
              </w:rPr>
              <w:t>日以部</w:t>
            </w:r>
            <w:r w:rsidRPr="00AF318A">
              <w:rPr>
                <w:rFonts w:hint="eastAsia"/>
                <w:sz w:val="24"/>
                <w:szCs w:val="20"/>
                <w:lang w:eastAsia="zh-HK"/>
              </w:rPr>
              <w:t>退三</w:t>
            </w:r>
            <w:r w:rsidRPr="00AF318A">
              <w:rPr>
                <w:rFonts w:hint="eastAsia"/>
                <w:sz w:val="24"/>
                <w:szCs w:val="20"/>
              </w:rPr>
              <w:t>字第</w:t>
            </w:r>
            <w:r w:rsidRPr="00AF318A">
              <w:rPr>
                <w:sz w:val="24"/>
                <w:szCs w:val="20"/>
              </w:rPr>
              <w:t>1115430953</w:t>
            </w:r>
            <w:r w:rsidRPr="00AF318A">
              <w:rPr>
                <w:rFonts w:hint="eastAsia"/>
                <w:sz w:val="24"/>
                <w:szCs w:val="20"/>
              </w:rPr>
              <w:t>號函陳立法院，經立法院第</w:t>
            </w:r>
            <w:r w:rsidRPr="00AF318A">
              <w:rPr>
                <w:sz w:val="24"/>
                <w:szCs w:val="20"/>
              </w:rPr>
              <w:t>10</w:t>
            </w:r>
            <w:r w:rsidRPr="00AF318A">
              <w:rPr>
                <w:rFonts w:hint="eastAsia"/>
                <w:sz w:val="24"/>
                <w:szCs w:val="20"/>
              </w:rPr>
              <w:t>屆第</w:t>
            </w:r>
            <w:r w:rsidRPr="00AF318A">
              <w:rPr>
                <w:sz w:val="24"/>
                <w:szCs w:val="20"/>
              </w:rPr>
              <w:t>5</w:t>
            </w:r>
            <w:r w:rsidRPr="00AF318A">
              <w:rPr>
                <w:rFonts w:hint="eastAsia"/>
                <w:sz w:val="24"/>
                <w:szCs w:val="20"/>
              </w:rPr>
              <w:t>會期第</w:t>
            </w:r>
            <w:r w:rsidRPr="00AF318A">
              <w:rPr>
                <w:sz w:val="24"/>
                <w:szCs w:val="20"/>
              </w:rPr>
              <w:t>13</w:t>
            </w:r>
            <w:r w:rsidRPr="00AF318A">
              <w:rPr>
                <w:rFonts w:hint="eastAsia"/>
                <w:sz w:val="24"/>
                <w:szCs w:val="20"/>
              </w:rPr>
              <w:t>次會議決定交司法及法制委員會處理在案</w:t>
            </w:r>
            <w:r w:rsidRPr="00E65FBE">
              <w:rPr>
                <w:rFonts w:hint="eastAsia"/>
                <w:snapToGrid w:val="0"/>
                <w:kern w:val="0"/>
                <w:sz w:val="24"/>
                <w:szCs w:val="24"/>
              </w:rPr>
              <w:t>，茲摘述內容如下：</w:t>
            </w:r>
          </w:p>
          <w:p w:rsidR="00A417AE" w:rsidRPr="00AF318A" w:rsidRDefault="00A417AE" w:rsidP="004E1F0E">
            <w:pPr>
              <w:pStyle w:val="a8"/>
              <w:snapToGrid w:val="0"/>
              <w:spacing w:line="320" w:lineRule="exact"/>
              <w:ind w:left="460" w:rightChars="20" w:right="48" w:firstLineChars="0" w:hanging="460"/>
              <w:rPr>
                <w:snapToGrid w:val="0"/>
                <w:kern w:val="0"/>
                <w:sz w:val="24"/>
                <w:szCs w:val="24"/>
              </w:rPr>
            </w:pPr>
            <w:r>
              <w:rPr>
                <w:rFonts w:hint="eastAsia"/>
                <w:snapToGrid w:val="0"/>
                <w:kern w:val="0"/>
                <w:sz w:val="24"/>
                <w:szCs w:val="24"/>
                <w:lang w:eastAsia="zh-HK"/>
              </w:rPr>
              <w:t>一、</w:t>
            </w:r>
            <w:r w:rsidRPr="00396494">
              <w:rPr>
                <w:rFonts w:hint="eastAsia"/>
                <w:snapToGrid w:val="0"/>
                <w:kern w:val="0"/>
                <w:sz w:val="24"/>
                <w:szCs w:val="24"/>
              </w:rPr>
              <w:t>考量退撫基金係屬確定給付制之退休基金，必須承擔籌措退休給付的各種風險，</w:t>
            </w:r>
            <w:r w:rsidRPr="00396494">
              <w:rPr>
                <w:rFonts w:hint="eastAsia"/>
                <w:snapToGrid w:val="0"/>
                <w:kern w:val="0"/>
                <w:sz w:val="24"/>
                <w:szCs w:val="24"/>
              </w:rPr>
              <w:lastRenderedPageBreak/>
              <w:t>基金之運用應同時兼顧安全性及收益性。以110年12月31日為基準日，近3、5、10年之加權平均收益率分別為10.38％、7.55％、6.13％，108年、109年及110年基金整體年收益率分別為10.62％、8.46％及11.85％，長期績效表現穩健良好。</w:t>
            </w:r>
          </w:p>
        </w:tc>
      </w:tr>
      <w:tr w:rsidR="00A417AE" w:rsidRPr="00AF318A" w:rsidTr="00593EED">
        <w:trPr>
          <w:trHeight w:val="178"/>
        </w:trPr>
        <w:tc>
          <w:tcPr>
            <w:tcW w:w="1167" w:type="dxa"/>
          </w:tcPr>
          <w:p w:rsidR="00A417AE" w:rsidRPr="00AF318A" w:rsidRDefault="00A417AE" w:rsidP="00A417AE">
            <w:pPr>
              <w:pStyle w:val="xl36"/>
              <w:widowControl w:val="0"/>
              <w:snapToGrid w:val="0"/>
              <w:spacing w:before="0" w:after="0" w:line="340" w:lineRule="exact"/>
              <w:ind w:leftChars="20" w:left="48" w:rightChars="20" w:right="48"/>
              <w:textAlignment w:val="auto"/>
              <w:rPr>
                <w:rFonts w:ascii="標楷體" w:eastAsia="標楷體" w:hAnsi="標楷體" w:cs="DFMing-Lt-HK-BF"/>
                <w:sz w:val="24"/>
                <w:szCs w:val="24"/>
              </w:rPr>
            </w:pPr>
            <w:r w:rsidRPr="00AF318A">
              <w:rPr>
                <w:rFonts w:ascii="標楷體" w:eastAsia="標楷體" w:hAnsi="標楷體" w:cs="DFMing-Lt-HK-BF" w:hint="eastAsia"/>
                <w:sz w:val="24"/>
                <w:szCs w:val="24"/>
              </w:rPr>
              <w:lastRenderedPageBreak/>
              <w:t xml:space="preserve"> </w:t>
            </w:r>
          </w:p>
        </w:tc>
        <w:tc>
          <w:tcPr>
            <w:tcW w:w="4473" w:type="dxa"/>
            <w:shd w:val="clear" w:color="auto" w:fill="auto"/>
          </w:tcPr>
          <w:p w:rsidR="00A417AE" w:rsidRDefault="00A417AE" w:rsidP="00A417AE">
            <w:pPr>
              <w:pStyle w:val="a8"/>
              <w:snapToGrid w:val="0"/>
              <w:ind w:leftChars="20" w:left="48" w:rightChars="20" w:right="48" w:firstLineChars="0" w:firstLine="0"/>
              <w:rPr>
                <w:snapToGrid w:val="0"/>
                <w:kern w:val="0"/>
                <w:sz w:val="24"/>
                <w:szCs w:val="24"/>
              </w:rPr>
            </w:pPr>
          </w:p>
          <w:p w:rsidR="00A417AE" w:rsidRDefault="00A417AE" w:rsidP="00A417AE">
            <w:pPr>
              <w:pStyle w:val="a8"/>
              <w:snapToGrid w:val="0"/>
              <w:ind w:leftChars="20" w:left="48" w:rightChars="20" w:right="48" w:firstLineChars="0" w:firstLine="0"/>
              <w:rPr>
                <w:snapToGrid w:val="0"/>
                <w:kern w:val="0"/>
                <w:sz w:val="24"/>
                <w:szCs w:val="24"/>
              </w:rPr>
            </w:pPr>
          </w:p>
          <w:p w:rsidR="00A417AE" w:rsidRDefault="00A417AE" w:rsidP="00A417AE">
            <w:pPr>
              <w:pStyle w:val="a8"/>
              <w:snapToGrid w:val="0"/>
              <w:ind w:leftChars="20" w:left="48" w:rightChars="20" w:right="48" w:firstLineChars="0" w:firstLine="0"/>
              <w:rPr>
                <w:snapToGrid w:val="0"/>
                <w:kern w:val="0"/>
                <w:sz w:val="24"/>
                <w:szCs w:val="24"/>
              </w:rPr>
            </w:pPr>
          </w:p>
          <w:p w:rsidR="00A417AE" w:rsidRDefault="00A417AE" w:rsidP="00A417AE">
            <w:pPr>
              <w:pStyle w:val="a8"/>
              <w:snapToGrid w:val="0"/>
              <w:ind w:leftChars="20" w:left="48" w:rightChars="20" w:right="48" w:firstLineChars="0" w:firstLine="0"/>
              <w:rPr>
                <w:snapToGrid w:val="0"/>
                <w:kern w:val="0"/>
                <w:sz w:val="24"/>
                <w:szCs w:val="24"/>
              </w:rPr>
            </w:pPr>
          </w:p>
          <w:p w:rsidR="00A417AE" w:rsidRDefault="00A417AE" w:rsidP="00A417AE">
            <w:pPr>
              <w:pStyle w:val="a8"/>
              <w:snapToGrid w:val="0"/>
              <w:ind w:leftChars="20" w:left="48" w:rightChars="20" w:right="48" w:firstLineChars="0" w:firstLine="0"/>
              <w:rPr>
                <w:snapToGrid w:val="0"/>
                <w:kern w:val="0"/>
                <w:sz w:val="24"/>
                <w:szCs w:val="24"/>
              </w:rPr>
            </w:pPr>
          </w:p>
          <w:p w:rsidR="00A417AE" w:rsidRDefault="00A417AE" w:rsidP="00A417AE">
            <w:pPr>
              <w:pStyle w:val="a8"/>
              <w:snapToGrid w:val="0"/>
              <w:ind w:leftChars="20" w:left="48" w:rightChars="20" w:right="48" w:firstLineChars="0" w:firstLine="0"/>
              <w:rPr>
                <w:snapToGrid w:val="0"/>
                <w:kern w:val="0"/>
                <w:sz w:val="24"/>
                <w:szCs w:val="24"/>
              </w:rPr>
            </w:pPr>
          </w:p>
          <w:p w:rsidR="00A417AE" w:rsidRDefault="00A417AE" w:rsidP="00A417AE">
            <w:pPr>
              <w:pStyle w:val="a8"/>
              <w:snapToGrid w:val="0"/>
              <w:ind w:leftChars="20" w:left="48" w:rightChars="20" w:right="48" w:firstLineChars="0" w:firstLine="0"/>
              <w:rPr>
                <w:snapToGrid w:val="0"/>
                <w:kern w:val="0"/>
                <w:sz w:val="24"/>
                <w:szCs w:val="24"/>
              </w:rPr>
            </w:pPr>
          </w:p>
          <w:p w:rsidR="00A417AE" w:rsidRDefault="00A417AE" w:rsidP="00A417AE">
            <w:pPr>
              <w:pStyle w:val="a8"/>
              <w:snapToGrid w:val="0"/>
              <w:ind w:leftChars="20" w:left="48" w:rightChars="20" w:right="48" w:firstLineChars="0" w:firstLine="0"/>
              <w:rPr>
                <w:snapToGrid w:val="0"/>
                <w:kern w:val="0"/>
                <w:sz w:val="24"/>
                <w:szCs w:val="24"/>
              </w:rPr>
            </w:pPr>
          </w:p>
          <w:p w:rsidR="00A417AE" w:rsidRPr="00AF318A" w:rsidRDefault="00A417AE" w:rsidP="00A417AE">
            <w:pPr>
              <w:pStyle w:val="a8"/>
              <w:snapToGrid w:val="0"/>
              <w:ind w:leftChars="20" w:left="48" w:rightChars="20" w:right="48" w:firstLineChars="0" w:firstLine="0"/>
              <w:rPr>
                <w:snapToGrid w:val="0"/>
                <w:kern w:val="0"/>
                <w:sz w:val="24"/>
                <w:szCs w:val="24"/>
              </w:rPr>
            </w:pPr>
          </w:p>
          <w:p w:rsidR="00A417AE" w:rsidRPr="00AF318A" w:rsidRDefault="00A417AE" w:rsidP="00A417AE">
            <w:pPr>
              <w:pStyle w:val="a8"/>
              <w:snapToGrid w:val="0"/>
              <w:ind w:leftChars="20" w:left="48" w:rightChars="20" w:right="48" w:firstLineChars="0" w:firstLine="0"/>
              <w:rPr>
                <w:snapToGrid w:val="0"/>
                <w:kern w:val="0"/>
                <w:sz w:val="24"/>
                <w:szCs w:val="24"/>
              </w:rPr>
            </w:pPr>
          </w:p>
          <w:p w:rsidR="00A417AE" w:rsidRPr="00AF318A" w:rsidRDefault="00A417AE" w:rsidP="00A417AE">
            <w:pPr>
              <w:pStyle w:val="a8"/>
              <w:snapToGrid w:val="0"/>
              <w:ind w:leftChars="41" w:left="198" w:rightChars="20" w:right="48" w:firstLineChars="0"/>
              <w:rPr>
                <w:snapToGrid w:val="0"/>
                <w:kern w:val="0"/>
                <w:sz w:val="24"/>
                <w:szCs w:val="24"/>
              </w:rPr>
            </w:pPr>
          </w:p>
        </w:tc>
        <w:tc>
          <w:tcPr>
            <w:tcW w:w="4741" w:type="dxa"/>
          </w:tcPr>
          <w:p w:rsidR="00A417AE" w:rsidRPr="00AF318A" w:rsidRDefault="00A417AE" w:rsidP="004E1F0E">
            <w:pPr>
              <w:pStyle w:val="a8"/>
              <w:snapToGrid w:val="0"/>
              <w:spacing w:line="300" w:lineRule="exact"/>
              <w:ind w:left="458" w:rightChars="20" w:right="48" w:hangingChars="191" w:hanging="458"/>
              <w:rPr>
                <w:snapToGrid w:val="0"/>
                <w:kern w:val="0"/>
                <w:sz w:val="24"/>
                <w:szCs w:val="24"/>
              </w:rPr>
            </w:pPr>
            <w:r>
              <w:rPr>
                <w:rFonts w:hint="eastAsia"/>
                <w:snapToGrid w:val="0"/>
                <w:kern w:val="0"/>
                <w:sz w:val="24"/>
                <w:szCs w:val="24"/>
                <w:lang w:eastAsia="zh-HK"/>
              </w:rPr>
              <w:t>二、</w:t>
            </w:r>
            <w:r w:rsidRPr="0083378B">
              <w:rPr>
                <w:rFonts w:hint="eastAsia"/>
                <w:snapToGrid w:val="0"/>
                <w:kern w:val="0"/>
                <w:sz w:val="24"/>
                <w:szCs w:val="24"/>
              </w:rPr>
              <w:t>對於國外</w:t>
            </w:r>
            <w:r>
              <w:rPr>
                <w:rFonts w:hint="eastAsia"/>
                <w:snapToGrid w:val="0"/>
                <w:kern w:val="0"/>
                <w:sz w:val="24"/>
                <w:szCs w:val="24"/>
                <w:lang w:eastAsia="zh-HK"/>
              </w:rPr>
              <w:t>委</w:t>
            </w:r>
            <w:r w:rsidRPr="0083378B">
              <w:rPr>
                <w:rFonts w:hint="eastAsia"/>
                <w:snapToGrid w:val="0"/>
                <w:kern w:val="0"/>
                <w:sz w:val="24"/>
                <w:szCs w:val="24"/>
              </w:rPr>
              <w:t>託</w:t>
            </w:r>
            <w:r>
              <w:rPr>
                <w:rFonts w:hint="eastAsia"/>
                <w:snapToGrid w:val="0"/>
                <w:kern w:val="0"/>
                <w:sz w:val="24"/>
                <w:szCs w:val="24"/>
                <w:lang w:eastAsia="zh-HK"/>
              </w:rPr>
              <w:t>業務之管控</w:t>
            </w:r>
            <w:r w:rsidRPr="0083378B">
              <w:rPr>
                <w:rFonts w:hint="eastAsia"/>
                <w:snapToGrid w:val="0"/>
                <w:kern w:val="0"/>
                <w:sz w:val="24"/>
                <w:szCs w:val="24"/>
              </w:rPr>
              <w:t>除日常監管與定期稽核外，自100年度起，每年均派員至受託機構指定之處所進行為期約一週之實地訪察。此外，如有越權交易，受託機構須執行「回復原狀」處理，基金管理會將持續追蹤至改善完竣為止。另為強化國外委託經營稽核強度，基金管理會自108年度終了後將當年發生之缺失事項，彙整函請受託機構特別注意，日後並將考量針對績效表現不佳或越權交易事項次數較多之受託機構列為優先執行實地訪察對象。</w:t>
            </w:r>
          </w:p>
        </w:tc>
      </w:tr>
    </w:tbl>
    <w:p w:rsidR="000576F6" w:rsidRPr="00AF318A" w:rsidRDefault="000576F6" w:rsidP="00135797">
      <w:pPr>
        <w:adjustRightInd w:val="0"/>
        <w:snapToGrid w:val="0"/>
        <w:spacing w:line="14" w:lineRule="exact"/>
      </w:pPr>
    </w:p>
    <w:p w:rsidR="00403A8F" w:rsidRPr="00AF318A" w:rsidRDefault="00403A8F">
      <w:pPr>
        <w:adjustRightInd w:val="0"/>
        <w:snapToGrid w:val="0"/>
        <w:spacing w:line="14" w:lineRule="exact"/>
      </w:pPr>
    </w:p>
    <w:sectPr w:rsidR="00403A8F" w:rsidRPr="00AF318A" w:rsidSect="00307DC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567" w:bottom="1134" w:left="56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A0E" w:rsidRDefault="00E87A0E">
      <w:r>
        <w:separator/>
      </w:r>
    </w:p>
  </w:endnote>
  <w:endnote w:type="continuationSeparator" w:id="0">
    <w:p w:rsidR="00E87A0E" w:rsidRDefault="00E8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華康楷書體W5外字集">
    <w:altName w:val="新細明體"/>
    <w:charset w:val="88"/>
    <w:family w:val="modern"/>
    <w:pitch w:val="fixed"/>
    <w:sig w:usb0="80000001" w:usb1="28091800" w:usb2="00000016"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DFMing-Lt-HK-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1E" w:rsidRDefault="00DE2B1E" w:rsidP="004B012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102</w:t>
    </w:r>
    <w:r>
      <w:rPr>
        <w:rStyle w:val="a5"/>
      </w:rPr>
      <w:fldChar w:fldCharType="end"/>
    </w:r>
  </w:p>
  <w:p w:rsidR="00DE2B1E" w:rsidRDefault="00DE2B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1E" w:rsidRPr="00700A91" w:rsidRDefault="00DE2B1E" w:rsidP="00E949DE">
    <w:pPr>
      <w:pStyle w:val="a4"/>
      <w:ind w:right="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65E" w:rsidRDefault="00A246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A0E" w:rsidRDefault="00E87A0E">
      <w:r>
        <w:separator/>
      </w:r>
    </w:p>
  </w:footnote>
  <w:footnote w:type="continuationSeparator" w:id="0">
    <w:p w:rsidR="00E87A0E" w:rsidRDefault="00E87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1E" w:rsidRDefault="00DE2B1E" w:rsidP="00941152">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102</w:t>
    </w:r>
    <w:r>
      <w:rPr>
        <w:rStyle w:val="a5"/>
      </w:rPr>
      <w:fldChar w:fldCharType="end"/>
    </w:r>
  </w:p>
  <w:p w:rsidR="00DE2B1E" w:rsidRDefault="00DE2B1E" w:rsidP="003748F2">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B1E" w:rsidRPr="003C0239" w:rsidRDefault="00DE2B1E" w:rsidP="003748F2">
    <w:pPr>
      <w:spacing w:line="0" w:lineRule="atLeast"/>
      <w:ind w:right="360" w:firstLine="360"/>
      <w:jc w:val="center"/>
      <w:rPr>
        <w:rFonts w:eastAsia="標楷體"/>
        <w:sz w:val="32"/>
        <w:szCs w:val="32"/>
      </w:rPr>
    </w:pPr>
    <w:r>
      <w:rPr>
        <w:rFonts w:eastAsia="標楷體" w:hint="eastAsia"/>
        <w:sz w:val="32"/>
        <w:szCs w:val="32"/>
      </w:rPr>
      <w:t>公務人員退休撫卹基金管理委員會</w:t>
    </w:r>
  </w:p>
  <w:p w:rsidR="00A2465E" w:rsidRDefault="00DE2B1E" w:rsidP="003B279B">
    <w:pPr>
      <w:spacing w:line="0" w:lineRule="atLeast"/>
      <w:jc w:val="center"/>
      <w:rPr>
        <w:rFonts w:eastAsia="標楷體"/>
        <w:sz w:val="28"/>
        <w:szCs w:val="28"/>
      </w:rPr>
    </w:pPr>
    <w:r w:rsidRPr="003C0239">
      <w:rPr>
        <w:rFonts w:eastAsia="標楷體" w:hint="eastAsia"/>
        <w:sz w:val="28"/>
        <w:szCs w:val="28"/>
      </w:rPr>
      <w:t>立法院審議</w:t>
    </w:r>
    <w:r w:rsidR="00A2465E">
      <w:rPr>
        <w:rFonts w:eastAsia="標楷體" w:hint="eastAsia"/>
        <w:sz w:val="28"/>
        <w:szCs w:val="28"/>
      </w:rPr>
      <w:t>通過</w:t>
    </w:r>
    <w:r w:rsidRPr="003C0239">
      <w:rPr>
        <w:rFonts w:eastAsia="標楷體" w:hint="eastAsia"/>
        <w:sz w:val="28"/>
        <w:szCs w:val="28"/>
      </w:rPr>
      <w:t>中央政府總預算案</w:t>
    </w:r>
    <w:r w:rsidR="00A2465E">
      <w:rPr>
        <w:rFonts w:eastAsia="標楷體" w:hint="eastAsia"/>
        <w:sz w:val="28"/>
        <w:szCs w:val="28"/>
      </w:rPr>
      <w:t>、總決算審核報告</w:t>
    </w:r>
  </w:p>
  <w:p w:rsidR="00DE2B1E" w:rsidRPr="003C0239" w:rsidRDefault="00DE2B1E" w:rsidP="003B279B">
    <w:pPr>
      <w:spacing w:line="0" w:lineRule="atLeast"/>
      <w:jc w:val="center"/>
      <w:rPr>
        <w:rFonts w:eastAsia="標楷體"/>
        <w:sz w:val="28"/>
        <w:szCs w:val="28"/>
      </w:rPr>
    </w:pPr>
    <w:r w:rsidRPr="003C0239">
      <w:rPr>
        <w:rFonts w:eastAsia="標楷體" w:hint="eastAsia"/>
        <w:sz w:val="28"/>
        <w:szCs w:val="28"/>
      </w:rPr>
      <w:t>決議、附帶決議及注意辦理事項辦理情形報告表</w:t>
    </w:r>
  </w:p>
  <w:p w:rsidR="00DE2B1E" w:rsidRPr="00D81AE3" w:rsidRDefault="00C8075D" w:rsidP="00F229B7">
    <w:pPr>
      <w:pStyle w:val="a3"/>
      <w:jc w:val="center"/>
      <w:rPr>
        <w:rFonts w:ascii="標楷體" w:eastAsia="標楷體" w:hAnsi="標楷體"/>
      </w:rPr>
    </w:pPr>
    <w:r w:rsidRPr="00D81AE3">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14:anchorId="5A8A26DC" wp14:editId="0101B139">
              <wp:simplePos x="0" y="0"/>
              <wp:positionH relativeFrom="column">
                <wp:posOffset>5789295</wp:posOffset>
              </wp:positionH>
              <wp:positionV relativeFrom="paragraph">
                <wp:posOffset>52070</wp:posOffset>
              </wp:positionV>
              <wp:extent cx="1095375" cy="2362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B1E" w:rsidRPr="00654FA1" w:rsidRDefault="00DE2B1E" w:rsidP="00654F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A26DC" id="_x0000_t202" coordsize="21600,21600" o:spt="202" path="m,l,21600r21600,l21600,xe">
              <v:stroke joinstyle="miter"/>
              <v:path gradientshapeok="t" o:connecttype="rect"/>
            </v:shapetype>
            <v:shape id="Text Box 1" o:spid="_x0000_s1026" type="#_x0000_t202" style="position:absolute;left:0;text-align:left;margin-left:455.85pt;margin-top:4.1pt;width:86.25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VtQ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" filled="f" stroked="f">
              <v:textbox>
                <w:txbxContent>
                  <w:p w:rsidR="00DE2B1E" w:rsidRPr="00654FA1" w:rsidRDefault="00DE2B1E" w:rsidP="00654FA1"/>
                </w:txbxContent>
              </v:textbox>
            </v:shape>
          </w:pict>
        </mc:Fallback>
      </mc:AlternateContent>
    </w:r>
    <w:r w:rsidR="00DE2B1E" w:rsidRPr="00D81AE3">
      <w:rPr>
        <w:rFonts w:ascii="標楷體" w:eastAsia="標楷體" w:hAnsi="標楷體" w:hint="eastAsia"/>
      </w:rPr>
      <w:t>中華民國</w:t>
    </w:r>
    <w:r w:rsidR="00DE2B1E">
      <w:rPr>
        <w:rFonts w:ascii="標楷體" w:eastAsia="標楷體" w:hAnsi="標楷體" w:hint="eastAsia"/>
      </w:rPr>
      <w:t>1</w:t>
    </w:r>
    <w:r w:rsidR="00F509DE">
      <w:rPr>
        <w:rFonts w:ascii="標楷體" w:eastAsia="標楷體" w:hAnsi="標楷體"/>
      </w:rPr>
      <w:t>1</w:t>
    </w:r>
    <w:r w:rsidR="00F509DE">
      <w:rPr>
        <w:rFonts w:ascii="標楷體" w:eastAsia="標楷體" w:hAnsi="標楷體" w:hint="eastAsia"/>
      </w:rPr>
      <w:t>1</w:t>
    </w:r>
    <w:r w:rsidR="00DE2B1E" w:rsidRPr="00D81AE3">
      <w:rPr>
        <w:rFonts w:ascii="標楷體" w:eastAsia="標楷體" w:hAnsi="標楷體" w:hint="eastAsia"/>
      </w:rPr>
      <w:t>年度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65E" w:rsidRDefault="00A2465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F7AC6"/>
    <w:multiLevelType w:val="hybridMultilevel"/>
    <w:tmpl w:val="F776FE5A"/>
    <w:lvl w:ilvl="0" w:tplc="77D4668C">
      <w:start w:val="1"/>
      <w:numFmt w:val="decimal"/>
      <w:lvlText w:val="%1."/>
      <w:lvlJc w:val="left"/>
      <w:pPr>
        <w:ind w:left="528" w:hanging="480"/>
      </w:pPr>
      <w:rPr>
        <w:rFonts w:eastAsia="標楷體" w:hint="eastAsia"/>
        <w:b w:val="0"/>
        <w:i w:val="0"/>
        <w:sz w:val="24"/>
        <w:szCs w:val="24"/>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nsid w:val="4AD3534C"/>
    <w:multiLevelType w:val="hybridMultilevel"/>
    <w:tmpl w:val="161EF280"/>
    <w:lvl w:ilvl="0" w:tplc="C568CE5C">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2">
    <w:nsid w:val="4EAC74BA"/>
    <w:multiLevelType w:val="hybridMultilevel"/>
    <w:tmpl w:val="A87E7E80"/>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62C915AF"/>
    <w:multiLevelType w:val="hybridMultilevel"/>
    <w:tmpl w:val="9F88BD76"/>
    <w:lvl w:ilvl="0" w:tplc="5B069102">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972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BDE"/>
    <w:rsid w:val="000003D1"/>
    <w:rsid w:val="000003E6"/>
    <w:rsid w:val="00000D4F"/>
    <w:rsid w:val="000105B7"/>
    <w:rsid w:val="00011C4E"/>
    <w:rsid w:val="00012845"/>
    <w:rsid w:val="00014987"/>
    <w:rsid w:val="00015823"/>
    <w:rsid w:val="00023443"/>
    <w:rsid w:val="00024C45"/>
    <w:rsid w:val="00025E6D"/>
    <w:rsid w:val="00025F4B"/>
    <w:rsid w:val="000261F9"/>
    <w:rsid w:val="00027600"/>
    <w:rsid w:val="00030375"/>
    <w:rsid w:val="00030DBA"/>
    <w:rsid w:val="00033A1D"/>
    <w:rsid w:val="00035197"/>
    <w:rsid w:val="0003552B"/>
    <w:rsid w:val="00037EBB"/>
    <w:rsid w:val="00040CD3"/>
    <w:rsid w:val="00040FEA"/>
    <w:rsid w:val="00044A51"/>
    <w:rsid w:val="0004519C"/>
    <w:rsid w:val="000476CF"/>
    <w:rsid w:val="000501B7"/>
    <w:rsid w:val="00053139"/>
    <w:rsid w:val="000576F6"/>
    <w:rsid w:val="00060E3D"/>
    <w:rsid w:val="00062218"/>
    <w:rsid w:val="000644FC"/>
    <w:rsid w:val="0006468F"/>
    <w:rsid w:val="00066D6B"/>
    <w:rsid w:val="00071645"/>
    <w:rsid w:val="0007226C"/>
    <w:rsid w:val="00073C57"/>
    <w:rsid w:val="00073DD4"/>
    <w:rsid w:val="0007676B"/>
    <w:rsid w:val="000936C8"/>
    <w:rsid w:val="0009495E"/>
    <w:rsid w:val="00094E0D"/>
    <w:rsid w:val="00095EEC"/>
    <w:rsid w:val="00096776"/>
    <w:rsid w:val="0009778A"/>
    <w:rsid w:val="000A3AD5"/>
    <w:rsid w:val="000A7EBF"/>
    <w:rsid w:val="000B0CC0"/>
    <w:rsid w:val="000B0D09"/>
    <w:rsid w:val="000B309E"/>
    <w:rsid w:val="000B7CA1"/>
    <w:rsid w:val="000C067D"/>
    <w:rsid w:val="000C48C5"/>
    <w:rsid w:val="000C49E9"/>
    <w:rsid w:val="000C604F"/>
    <w:rsid w:val="000D0C71"/>
    <w:rsid w:val="000D546D"/>
    <w:rsid w:val="000D63ED"/>
    <w:rsid w:val="000E2724"/>
    <w:rsid w:val="000E28DC"/>
    <w:rsid w:val="000E503C"/>
    <w:rsid w:val="000E5E83"/>
    <w:rsid w:val="000F208A"/>
    <w:rsid w:val="000F364D"/>
    <w:rsid w:val="000F5586"/>
    <w:rsid w:val="000F613D"/>
    <w:rsid w:val="000F686E"/>
    <w:rsid w:val="000F7AAF"/>
    <w:rsid w:val="001044EB"/>
    <w:rsid w:val="001054C3"/>
    <w:rsid w:val="00106595"/>
    <w:rsid w:val="00113B16"/>
    <w:rsid w:val="00122430"/>
    <w:rsid w:val="00122789"/>
    <w:rsid w:val="00124F1A"/>
    <w:rsid w:val="001271DB"/>
    <w:rsid w:val="00134AAD"/>
    <w:rsid w:val="00135797"/>
    <w:rsid w:val="0013592D"/>
    <w:rsid w:val="00136C89"/>
    <w:rsid w:val="00137EC7"/>
    <w:rsid w:val="00140C0C"/>
    <w:rsid w:val="0014567E"/>
    <w:rsid w:val="00147657"/>
    <w:rsid w:val="00152243"/>
    <w:rsid w:val="00152380"/>
    <w:rsid w:val="001529C5"/>
    <w:rsid w:val="00152F13"/>
    <w:rsid w:val="00154072"/>
    <w:rsid w:val="0015490A"/>
    <w:rsid w:val="001578DB"/>
    <w:rsid w:val="0016100B"/>
    <w:rsid w:val="00161419"/>
    <w:rsid w:val="001635AD"/>
    <w:rsid w:val="00165462"/>
    <w:rsid w:val="001665D1"/>
    <w:rsid w:val="00167434"/>
    <w:rsid w:val="001738CD"/>
    <w:rsid w:val="001757D2"/>
    <w:rsid w:val="001770F7"/>
    <w:rsid w:val="00177762"/>
    <w:rsid w:val="0018165A"/>
    <w:rsid w:val="0018561E"/>
    <w:rsid w:val="0019068D"/>
    <w:rsid w:val="00190C2B"/>
    <w:rsid w:val="001920C2"/>
    <w:rsid w:val="00193038"/>
    <w:rsid w:val="00195BD9"/>
    <w:rsid w:val="00197402"/>
    <w:rsid w:val="001A1BAE"/>
    <w:rsid w:val="001A6F8D"/>
    <w:rsid w:val="001B19EF"/>
    <w:rsid w:val="001B1B79"/>
    <w:rsid w:val="001B4BD5"/>
    <w:rsid w:val="001B4DD7"/>
    <w:rsid w:val="001B7646"/>
    <w:rsid w:val="001B78F2"/>
    <w:rsid w:val="001C0767"/>
    <w:rsid w:val="001C4FA6"/>
    <w:rsid w:val="001C6775"/>
    <w:rsid w:val="001D18D3"/>
    <w:rsid w:val="001D1916"/>
    <w:rsid w:val="001D27F9"/>
    <w:rsid w:val="001D7272"/>
    <w:rsid w:val="001E128E"/>
    <w:rsid w:val="001E59DF"/>
    <w:rsid w:val="001F09B6"/>
    <w:rsid w:val="001F1454"/>
    <w:rsid w:val="001F2369"/>
    <w:rsid w:val="001F5B61"/>
    <w:rsid w:val="001F6308"/>
    <w:rsid w:val="001F7875"/>
    <w:rsid w:val="00200E8F"/>
    <w:rsid w:val="002045C8"/>
    <w:rsid w:val="0020573C"/>
    <w:rsid w:val="0020740F"/>
    <w:rsid w:val="0021088D"/>
    <w:rsid w:val="0021234C"/>
    <w:rsid w:val="002138A2"/>
    <w:rsid w:val="00220D5B"/>
    <w:rsid w:val="0022285C"/>
    <w:rsid w:val="0022387B"/>
    <w:rsid w:val="00224C74"/>
    <w:rsid w:val="00227D63"/>
    <w:rsid w:val="0023126A"/>
    <w:rsid w:val="00231F77"/>
    <w:rsid w:val="002331D8"/>
    <w:rsid w:val="00233EC7"/>
    <w:rsid w:val="0023438F"/>
    <w:rsid w:val="0023490B"/>
    <w:rsid w:val="00236394"/>
    <w:rsid w:val="00237B67"/>
    <w:rsid w:val="002428E1"/>
    <w:rsid w:val="00244DD2"/>
    <w:rsid w:val="002478E9"/>
    <w:rsid w:val="00250E27"/>
    <w:rsid w:val="002531C9"/>
    <w:rsid w:val="002531FF"/>
    <w:rsid w:val="002551E4"/>
    <w:rsid w:val="00255475"/>
    <w:rsid w:val="0025763A"/>
    <w:rsid w:val="00257AFD"/>
    <w:rsid w:val="002703F2"/>
    <w:rsid w:val="002705EF"/>
    <w:rsid w:val="002834EA"/>
    <w:rsid w:val="0028566B"/>
    <w:rsid w:val="00291875"/>
    <w:rsid w:val="00291D8C"/>
    <w:rsid w:val="0029203B"/>
    <w:rsid w:val="002976E5"/>
    <w:rsid w:val="002A12B6"/>
    <w:rsid w:val="002A6648"/>
    <w:rsid w:val="002B0363"/>
    <w:rsid w:val="002B3DAA"/>
    <w:rsid w:val="002B53A9"/>
    <w:rsid w:val="002C4003"/>
    <w:rsid w:val="002C51AD"/>
    <w:rsid w:val="002C6E63"/>
    <w:rsid w:val="002D3FFA"/>
    <w:rsid w:val="002D4EC9"/>
    <w:rsid w:val="002D534A"/>
    <w:rsid w:val="002E137F"/>
    <w:rsid w:val="002E2C8D"/>
    <w:rsid w:val="002E35A9"/>
    <w:rsid w:val="002E5000"/>
    <w:rsid w:val="002E634A"/>
    <w:rsid w:val="002E6AF5"/>
    <w:rsid w:val="002F0429"/>
    <w:rsid w:val="002F09A5"/>
    <w:rsid w:val="002F1702"/>
    <w:rsid w:val="002F35B1"/>
    <w:rsid w:val="002F36CB"/>
    <w:rsid w:val="002F3E33"/>
    <w:rsid w:val="002F4D8E"/>
    <w:rsid w:val="002F55F0"/>
    <w:rsid w:val="002F72D1"/>
    <w:rsid w:val="002F7783"/>
    <w:rsid w:val="003047B5"/>
    <w:rsid w:val="00305CB3"/>
    <w:rsid w:val="00307DC3"/>
    <w:rsid w:val="00312333"/>
    <w:rsid w:val="00315D38"/>
    <w:rsid w:val="00317DEF"/>
    <w:rsid w:val="003233DD"/>
    <w:rsid w:val="003242AC"/>
    <w:rsid w:val="003268D2"/>
    <w:rsid w:val="003305C7"/>
    <w:rsid w:val="00331834"/>
    <w:rsid w:val="00331B0B"/>
    <w:rsid w:val="003323A3"/>
    <w:rsid w:val="00335F7A"/>
    <w:rsid w:val="0034089A"/>
    <w:rsid w:val="003413C5"/>
    <w:rsid w:val="003471ED"/>
    <w:rsid w:val="003508D4"/>
    <w:rsid w:val="003509B2"/>
    <w:rsid w:val="00351BB3"/>
    <w:rsid w:val="0035208B"/>
    <w:rsid w:val="003528DF"/>
    <w:rsid w:val="003567B6"/>
    <w:rsid w:val="00357DA2"/>
    <w:rsid w:val="00362ADD"/>
    <w:rsid w:val="0036746C"/>
    <w:rsid w:val="00370709"/>
    <w:rsid w:val="00371520"/>
    <w:rsid w:val="003748F2"/>
    <w:rsid w:val="00381CC6"/>
    <w:rsid w:val="00382FED"/>
    <w:rsid w:val="0038396E"/>
    <w:rsid w:val="003857FE"/>
    <w:rsid w:val="0039154B"/>
    <w:rsid w:val="003920FA"/>
    <w:rsid w:val="00392143"/>
    <w:rsid w:val="0039567A"/>
    <w:rsid w:val="00395D27"/>
    <w:rsid w:val="003966D7"/>
    <w:rsid w:val="003A10CD"/>
    <w:rsid w:val="003A34A0"/>
    <w:rsid w:val="003A4CDC"/>
    <w:rsid w:val="003A6E72"/>
    <w:rsid w:val="003A7404"/>
    <w:rsid w:val="003B044F"/>
    <w:rsid w:val="003B279B"/>
    <w:rsid w:val="003B3875"/>
    <w:rsid w:val="003B38C3"/>
    <w:rsid w:val="003C0239"/>
    <w:rsid w:val="003C05B8"/>
    <w:rsid w:val="003C1C1F"/>
    <w:rsid w:val="003C23F8"/>
    <w:rsid w:val="003C356B"/>
    <w:rsid w:val="003D0428"/>
    <w:rsid w:val="003D18FB"/>
    <w:rsid w:val="003D2430"/>
    <w:rsid w:val="003D2BFA"/>
    <w:rsid w:val="003D3DB7"/>
    <w:rsid w:val="003E32E0"/>
    <w:rsid w:val="003E405D"/>
    <w:rsid w:val="003E5146"/>
    <w:rsid w:val="003F166C"/>
    <w:rsid w:val="003F3AC3"/>
    <w:rsid w:val="003F4840"/>
    <w:rsid w:val="003F68AD"/>
    <w:rsid w:val="00403A8F"/>
    <w:rsid w:val="00403B71"/>
    <w:rsid w:val="004055EB"/>
    <w:rsid w:val="00406754"/>
    <w:rsid w:val="004067B6"/>
    <w:rsid w:val="00407A8F"/>
    <w:rsid w:val="00414603"/>
    <w:rsid w:val="004150F1"/>
    <w:rsid w:val="004154E4"/>
    <w:rsid w:val="00416B34"/>
    <w:rsid w:val="004207BD"/>
    <w:rsid w:val="004207FA"/>
    <w:rsid w:val="004215EE"/>
    <w:rsid w:val="0043580A"/>
    <w:rsid w:val="00435C63"/>
    <w:rsid w:val="00437BFC"/>
    <w:rsid w:val="004404DF"/>
    <w:rsid w:val="00443197"/>
    <w:rsid w:val="00443712"/>
    <w:rsid w:val="00444AA0"/>
    <w:rsid w:val="00446AFF"/>
    <w:rsid w:val="0045142E"/>
    <w:rsid w:val="00453802"/>
    <w:rsid w:val="00456E2E"/>
    <w:rsid w:val="004574D9"/>
    <w:rsid w:val="00461D7A"/>
    <w:rsid w:val="00470A53"/>
    <w:rsid w:val="0047102C"/>
    <w:rsid w:val="004722B6"/>
    <w:rsid w:val="0047301E"/>
    <w:rsid w:val="00474E05"/>
    <w:rsid w:val="00475791"/>
    <w:rsid w:val="00475A81"/>
    <w:rsid w:val="00477159"/>
    <w:rsid w:val="00480230"/>
    <w:rsid w:val="00482A35"/>
    <w:rsid w:val="0049224D"/>
    <w:rsid w:val="00494E34"/>
    <w:rsid w:val="004960FF"/>
    <w:rsid w:val="004A2D9E"/>
    <w:rsid w:val="004A4D10"/>
    <w:rsid w:val="004A6D2A"/>
    <w:rsid w:val="004A73CD"/>
    <w:rsid w:val="004A7911"/>
    <w:rsid w:val="004A7E18"/>
    <w:rsid w:val="004A7EEA"/>
    <w:rsid w:val="004B0121"/>
    <w:rsid w:val="004B29F6"/>
    <w:rsid w:val="004B382C"/>
    <w:rsid w:val="004B6F11"/>
    <w:rsid w:val="004B76E5"/>
    <w:rsid w:val="004C005E"/>
    <w:rsid w:val="004C270A"/>
    <w:rsid w:val="004C4036"/>
    <w:rsid w:val="004C4039"/>
    <w:rsid w:val="004C62AC"/>
    <w:rsid w:val="004D01FB"/>
    <w:rsid w:val="004D1746"/>
    <w:rsid w:val="004D1AF4"/>
    <w:rsid w:val="004D2533"/>
    <w:rsid w:val="004D3BB8"/>
    <w:rsid w:val="004D628B"/>
    <w:rsid w:val="004D6B79"/>
    <w:rsid w:val="004E1F0E"/>
    <w:rsid w:val="004E2EF2"/>
    <w:rsid w:val="004E42D5"/>
    <w:rsid w:val="004F2E0F"/>
    <w:rsid w:val="004F30CC"/>
    <w:rsid w:val="00500AA6"/>
    <w:rsid w:val="005010C1"/>
    <w:rsid w:val="00503198"/>
    <w:rsid w:val="00510B5F"/>
    <w:rsid w:val="00511606"/>
    <w:rsid w:val="00517698"/>
    <w:rsid w:val="00517709"/>
    <w:rsid w:val="00517CA5"/>
    <w:rsid w:val="00522312"/>
    <w:rsid w:val="00527DFB"/>
    <w:rsid w:val="005304C2"/>
    <w:rsid w:val="00530714"/>
    <w:rsid w:val="00532D86"/>
    <w:rsid w:val="00533D75"/>
    <w:rsid w:val="00543962"/>
    <w:rsid w:val="00543D5E"/>
    <w:rsid w:val="00544729"/>
    <w:rsid w:val="00545D1A"/>
    <w:rsid w:val="0054604D"/>
    <w:rsid w:val="0054775F"/>
    <w:rsid w:val="005514A8"/>
    <w:rsid w:val="0055294F"/>
    <w:rsid w:val="005539AD"/>
    <w:rsid w:val="00554F12"/>
    <w:rsid w:val="00557263"/>
    <w:rsid w:val="00562BD5"/>
    <w:rsid w:val="00563013"/>
    <w:rsid w:val="005642AC"/>
    <w:rsid w:val="005722BE"/>
    <w:rsid w:val="00575C5A"/>
    <w:rsid w:val="00575EA3"/>
    <w:rsid w:val="0057635F"/>
    <w:rsid w:val="0058580C"/>
    <w:rsid w:val="00591CBE"/>
    <w:rsid w:val="00593EED"/>
    <w:rsid w:val="00596A62"/>
    <w:rsid w:val="005A46E7"/>
    <w:rsid w:val="005A4E01"/>
    <w:rsid w:val="005A707D"/>
    <w:rsid w:val="005A70D4"/>
    <w:rsid w:val="005B07EE"/>
    <w:rsid w:val="005B135A"/>
    <w:rsid w:val="005B2D0B"/>
    <w:rsid w:val="005B31DA"/>
    <w:rsid w:val="005B6246"/>
    <w:rsid w:val="005B6E33"/>
    <w:rsid w:val="005C11BD"/>
    <w:rsid w:val="005C2695"/>
    <w:rsid w:val="005C4BCB"/>
    <w:rsid w:val="005C70EE"/>
    <w:rsid w:val="005C7DDB"/>
    <w:rsid w:val="005D02F6"/>
    <w:rsid w:val="005D2A92"/>
    <w:rsid w:val="005D43A3"/>
    <w:rsid w:val="005D5F23"/>
    <w:rsid w:val="005D6AD6"/>
    <w:rsid w:val="005E066A"/>
    <w:rsid w:val="005E1063"/>
    <w:rsid w:val="005E3233"/>
    <w:rsid w:val="005E6FF3"/>
    <w:rsid w:val="005F3A82"/>
    <w:rsid w:val="005F6E31"/>
    <w:rsid w:val="005F7DAF"/>
    <w:rsid w:val="006001B4"/>
    <w:rsid w:val="00600669"/>
    <w:rsid w:val="00600B90"/>
    <w:rsid w:val="0060171D"/>
    <w:rsid w:val="00603D9E"/>
    <w:rsid w:val="0061001A"/>
    <w:rsid w:val="006134F8"/>
    <w:rsid w:val="00614068"/>
    <w:rsid w:val="00616FEA"/>
    <w:rsid w:val="0062067B"/>
    <w:rsid w:val="00632C3C"/>
    <w:rsid w:val="00633956"/>
    <w:rsid w:val="00634933"/>
    <w:rsid w:val="006464E3"/>
    <w:rsid w:val="00652871"/>
    <w:rsid w:val="00654FA1"/>
    <w:rsid w:val="006626D9"/>
    <w:rsid w:val="00664387"/>
    <w:rsid w:val="006658A7"/>
    <w:rsid w:val="00667E8E"/>
    <w:rsid w:val="00670E87"/>
    <w:rsid w:val="006715EA"/>
    <w:rsid w:val="006723B4"/>
    <w:rsid w:val="00672821"/>
    <w:rsid w:val="00675FCA"/>
    <w:rsid w:val="00676818"/>
    <w:rsid w:val="00676EB1"/>
    <w:rsid w:val="00680B39"/>
    <w:rsid w:val="0068227D"/>
    <w:rsid w:val="00682FB4"/>
    <w:rsid w:val="006869A9"/>
    <w:rsid w:val="006869C9"/>
    <w:rsid w:val="00687300"/>
    <w:rsid w:val="00687461"/>
    <w:rsid w:val="00692B69"/>
    <w:rsid w:val="00693EBF"/>
    <w:rsid w:val="006A135C"/>
    <w:rsid w:val="006A19B8"/>
    <w:rsid w:val="006A1C3B"/>
    <w:rsid w:val="006A20C1"/>
    <w:rsid w:val="006A229F"/>
    <w:rsid w:val="006A3873"/>
    <w:rsid w:val="006A3FA0"/>
    <w:rsid w:val="006A66CA"/>
    <w:rsid w:val="006B2678"/>
    <w:rsid w:val="006B4ECD"/>
    <w:rsid w:val="006C16E4"/>
    <w:rsid w:val="006C443A"/>
    <w:rsid w:val="006C4A86"/>
    <w:rsid w:val="006C7D03"/>
    <w:rsid w:val="006D069B"/>
    <w:rsid w:val="006D5E9B"/>
    <w:rsid w:val="006D67BE"/>
    <w:rsid w:val="006D7059"/>
    <w:rsid w:val="006E1E82"/>
    <w:rsid w:val="006E3018"/>
    <w:rsid w:val="006E3CB2"/>
    <w:rsid w:val="006E5FAB"/>
    <w:rsid w:val="006E7599"/>
    <w:rsid w:val="006F46FD"/>
    <w:rsid w:val="006F48B0"/>
    <w:rsid w:val="006F56E2"/>
    <w:rsid w:val="006F5DBC"/>
    <w:rsid w:val="006F6E7F"/>
    <w:rsid w:val="00700A91"/>
    <w:rsid w:val="0070374F"/>
    <w:rsid w:val="00706678"/>
    <w:rsid w:val="00712179"/>
    <w:rsid w:val="007137C7"/>
    <w:rsid w:val="00715D3B"/>
    <w:rsid w:val="00720496"/>
    <w:rsid w:val="00723217"/>
    <w:rsid w:val="007237D8"/>
    <w:rsid w:val="007243AF"/>
    <w:rsid w:val="00724A48"/>
    <w:rsid w:val="0072610E"/>
    <w:rsid w:val="00727C36"/>
    <w:rsid w:val="00731D90"/>
    <w:rsid w:val="007340ED"/>
    <w:rsid w:val="007344B6"/>
    <w:rsid w:val="00737F45"/>
    <w:rsid w:val="00741640"/>
    <w:rsid w:val="00745445"/>
    <w:rsid w:val="007456B8"/>
    <w:rsid w:val="007478DC"/>
    <w:rsid w:val="00747CF0"/>
    <w:rsid w:val="00751B3D"/>
    <w:rsid w:val="00753DCB"/>
    <w:rsid w:val="0075513E"/>
    <w:rsid w:val="007628F5"/>
    <w:rsid w:val="00762D80"/>
    <w:rsid w:val="00765BD4"/>
    <w:rsid w:val="00766D0E"/>
    <w:rsid w:val="007676A7"/>
    <w:rsid w:val="0077100E"/>
    <w:rsid w:val="007743CC"/>
    <w:rsid w:val="00776375"/>
    <w:rsid w:val="00776530"/>
    <w:rsid w:val="007776D2"/>
    <w:rsid w:val="00781E05"/>
    <w:rsid w:val="007829C8"/>
    <w:rsid w:val="00782C70"/>
    <w:rsid w:val="00783253"/>
    <w:rsid w:val="0078332A"/>
    <w:rsid w:val="007858A7"/>
    <w:rsid w:val="00787FD9"/>
    <w:rsid w:val="00792919"/>
    <w:rsid w:val="007A1203"/>
    <w:rsid w:val="007A1371"/>
    <w:rsid w:val="007A1A45"/>
    <w:rsid w:val="007A1F67"/>
    <w:rsid w:val="007A4BD6"/>
    <w:rsid w:val="007A5121"/>
    <w:rsid w:val="007A5C71"/>
    <w:rsid w:val="007A6666"/>
    <w:rsid w:val="007B085A"/>
    <w:rsid w:val="007B661E"/>
    <w:rsid w:val="007B7850"/>
    <w:rsid w:val="007C2895"/>
    <w:rsid w:val="007C5771"/>
    <w:rsid w:val="007C6A7F"/>
    <w:rsid w:val="007C6FEF"/>
    <w:rsid w:val="007D2869"/>
    <w:rsid w:val="007D29CF"/>
    <w:rsid w:val="007D39C2"/>
    <w:rsid w:val="007D4742"/>
    <w:rsid w:val="007E1815"/>
    <w:rsid w:val="007E2FAA"/>
    <w:rsid w:val="007E3EE2"/>
    <w:rsid w:val="007E3F0B"/>
    <w:rsid w:val="007E5A55"/>
    <w:rsid w:val="007E6545"/>
    <w:rsid w:val="007E6672"/>
    <w:rsid w:val="007E6C8C"/>
    <w:rsid w:val="007F032A"/>
    <w:rsid w:val="007F0E02"/>
    <w:rsid w:val="007F1D3C"/>
    <w:rsid w:val="007F1E9B"/>
    <w:rsid w:val="007F4E3D"/>
    <w:rsid w:val="007F556B"/>
    <w:rsid w:val="007F58AE"/>
    <w:rsid w:val="008001F8"/>
    <w:rsid w:val="008030DC"/>
    <w:rsid w:val="00804E4A"/>
    <w:rsid w:val="00805FD3"/>
    <w:rsid w:val="00811AEE"/>
    <w:rsid w:val="008125B4"/>
    <w:rsid w:val="008139AD"/>
    <w:rsid w:val="008146E9"/>
    <w:rsid w:val="0082064D"/>
    <w:rsid w:val="008211E0"/>
    <w:rsid w:val="0082239C"/>
    <w:rsid w:val="008250AA"/>
    <w:rsid w:val="00825620"/>
    <w:rsid w:val="008305B7"/>
    <w:rsid w:val="00833006"/>
    <w:rsid w:val="00837582"/>
    <w:rsid w:val="00837F2D"/>
    <w:rsid w:val="00841F46"/>
    <w:rsid w:val="00850AD2"/>
    <w:rsid w:val="00851FBC"/>
    <w:rsid w:val="00852DA4"/>
    <w:rsid w:val="00854395"/>
    <w:rsid w:val="00856A12"/>
    <w:rsid w:val="00861F79"/>
    <w:rsid w:val="008634D4"/>
    <w:rsid w:val="00865407"/>
    <w:rsid w:val="00872934"/>
    <w:rsid w:val="00872DC2"/>
    <w:rsid w:val="00880675"/>
    <w:rsid w:val="00880BDE"/>
    <w:rsid w:val="00884056"/>
    <w:rsid w:val="00887441"/>
    <w:rsid w:val="00887A41"/>
    <w:rsid w:val="008948FF"/>
    <w:rsid w:val="00895922"/>
    <w:rsid w:val="008A0528"/>
    <w:rsid w:val="008A0B9F"/>
    <w:rsid w:val="008A10C0"/>
    <w:rsid w:val="008A11EB"/>
    <w:rsid w:val="008A2361"/>
    <w:rsid w:val="008A426E"/>
    <w:rsid w:val="008A447B"/>
    <w:rsid w:val="008A5AD6"/>
    <w:rsid w:val="008A5C34"/>
    <w:rsid w:val="008B3449"/>
    <w:rsid w:val="008B35DB"/>
    <w:rsid w:val="008C6BF4"/>
    <w:rsid w:val="008C6D03"/>
    <w:rsid w:val="008D22EB"/>
    <w:rsid w:val="008D2B42"/>
    <w:rsid w:val="008E07FD"/>
    <w:rsid w:val="008E3488"/>
    <w:rsid w:val="008E40A0"/>
    <w:rsid w:val="008E6BDE"/>
    <w:rsid w:val="008E797E"/>
    <w:rsid w:val="008F0E32"/>
    <w:rsid w:val="008F4B5F"/>
    <w:rsid w:val="008F68B1"/>
    <w:rsid w:val="008F796B"/>
    <w:rsid w:val="0090051A"/>
    <w:rsid w:val="0090240E"/>
    <w:rsid w:val="00905193"/>
    <w:rsid w:val="0090540A"/>
    <w:rsid w:val="009133DC"/>
    <w:rsid w:val="00915A6F"/>
    <w:rsid w:val="0091642B"/>
    <w:rsid w:val="00917005"/>
    <w:rsid w:val="00917B2D"/>
    <w:rsid w:val="00921488"/>
    <w:rsid w:val="00930622"/>
    <w:rsid w:val="009345F2"/>
    <w:rsid w:val="00937F64"/>
    <w:rsid w:val="00941152"/>
    <w:rsid w:val="009450CE"/>
    <w:rsid w:val="00947175"/>
    <w:rsid w:val="00950447"/>
    <w:rsid w:val="00955633"/>
    <w:rsid w:val="00956BAA"/>
    <w:rsid w:val="00960D42"/>
    <w:rsid w:val="00961126"/>
    <w:rsid w:val="009663ED"/>
    <w:rsid w:val="009673AE"/>
    <w:rsid w:val="00971A71"/>
    <w:rsid w:val="00971C9C"/>
    <w:rsid w:val="009729D2"/>
    <w:rsid w:val="00973FBD"/>
    <w:rsid w:val="00977882"/>
    <w:rsid w:val="0098100A"/>
    <w:rsid w:val="009842B4"/>
    <w:rsid w:val="00990B40"/>
    <w:rsid w:val="0099167A"/>
    <w:rsid w:val="009947F2"/>
    <w:rsid w:val="009A501A"/>
    <w:rsid w:val="009B1CA2"/>
    <w:rsid w:val="009B20F2"/>
    <w:rsid w:val="009B2FF5"/>
    <w:rsid w:val="009B41D7"/>
    <w:rsid w:val="009B6B66"/>
    <w:rsid w:val="009C40A7"/>
    <w:rsid w:val="009D18B6"/>
    <w:rsid w:val="009D36D4"/>
    <w:rsid w:val="009D4213"/>
    <w:rsid w:val="009D6C7E"/>
    <w:rsid w:val="009E05FE"/>
    <w:rsid w:val="009E3AB5"/>
    <w:rsid w:val="009E4C10"/>
    <w:rsid w:val="009E7889"/>
    <w:rsid w:val="009F1A2C"/>
    <w:rsid w:val="009F68F2"/>
    <w:rsid w:val="009F7FFA"/>
    <w:rsid w:val="00A05F98"/>
    <w:rsid w:val="00A06E3E"/>
    <w:rsid w:val="00A07E40"/>
    <w:rsid w:val="00A14187"/>
    <w:rsid w:val="00A2465E"/>
    <w:rsid w:val="00A26711"/>
    <w:rsid w:val="00A32A80"/>
    <w:rsid w:val="00A33A39"/>
    <w:rsid w:val="00A33B4B"/>
    <w:rsid w:val="00A341DD"/>
    <w:rsid w:val="00A34968"/>
    <w:rsid w:val="00A37560"/>
    <w:rsid w:val="00A37D8B"/>
    <w:rsid w:val="00A417AE"/>
    <w:rsid w:val="00A42421"/>
    <w:rsid w:val="00A45B1B"/>
    <w:rsid w:val="00A45F40"/>
    <w:rsid w:val="00A4607A"/>
    <w:rsid w:val="00A46609"/>
    <w:rsid w:val="00A47EA6"/>
    <w:rsid w:val="00A51D26"/>
    <w:rsid w:val="00A52C36"/>
    <w:rsid w:val="00A55EE4"/>
    <w:rsid w:val="00A56396"/>
    <w:rsid w:val="00A6239D"/>
    <w:rsid w:val="00A67EC9"/>
    <w:rsid w:val="00A723E6"/>
    <w:rsid w:val="00A76C79"/>
    <w:rsid w:val="00A77712"/>
    <w:rsid w:val="00A8013A"/>
    <w:rsid w:val="00A809FC"/>
    <w:rsid w:val="00A8346A"/>
    <w:rsid w:val="00A85E4C"/>
    <w:rsid w:val="00A9173B"/>
    <w:rsid w:val="00A91AD5"/>
    <w:rsid w:val="00A92590"/>
    <w:rsid w:val="00A9381E"/>
    <w:rsid w:val="00A9512D"/>
    <w:rsid w:val="00AA3868"/>
    <w:rsid w:val="00AA7523"/>
    <w:rsid w:val="00AB174D"/>
    <w:rsid w:val="00AB6B84"/>
    <w:rsid w:val="00AB7557"/>
    <w:rsid w:val="00AC14BA"/>
    <w:rsid w:val="00AC2CE1"/>
    <w:rsid w:val="00AC554C"/>
    <w:rsid w:val="00AC5974"/>
    <w:rsid w:val="00AD0A40"/>
    <w:rsid w:val="00AD434E"/>
    <w:rsid w:val="00AD43CC"/>
    <w:rsid w:val="00AD44D3"/>
    <w:rsid w:val="00AD479F"/>
    <w:rsid w:val="00AD6A29"/>
    <w:rsid w:val="00AD6A31"/>
    <w:rsid w:val="00AE5BE9"/>
    <w:rsid w:val="00AE5DDB"/>
    <w:rsid w:val="00AF1A33"/>
    <w:rsid w:val="00AF1B94"/>
    <w:rsid w:val="00AF318A"/>
    <w:rsid w:val="00AF44DE"/>
    <w:rsid w:val="00AF5CC3"/>
    <w:rsid w:val="00B02748"/>
    <w:rsid w:val="00B02CA5"/>
    <w:rsid w:val="00B03C5B"/>
    <w:rsid w:val="00B056A6"/>
    <w:rsid w:val="00B10EB4"/>
    <w:rsid w:val="00B11CA9"/>
    <w:rsid w:val="00B11DD9"/>
    <w:rsid w:val="00B11E84"/>
    <w:rsid w:val="00B133CE"/>
    <w:rsid w:val="00B145D5"/>
    <w:rsid w:val="00B17A7E"/>
    <w:rsid w:val="00B21180"/>
    <w:rsid w:val="00B24A37"/>
    <w:rsid w:val="00B255BB"/>
    <w:rsid w:val="00B3129C"/>
    <w:rsid w:val="00B322C5"/>
    <w:rsid w:val="00B326BD"/>
    <w:rsid w:val="00B335B2"/>
    <w:rsid w:val="00B35396"/>
    <w:rsid w:val="00B3582B"/>
    <w:rsid w:val="00B359D2"/>
    <w:rsid w:val="00B40C3A"/>
    <w:rsid w:val="00B43D0D"/>
    <w:rsid w:val="00B46FD4"/>
    <w:rsid w:val="00B5595E"/>
    <w:rsid w:val="00B55E73"/>
    <w:rsid w:val="00B56BBA"/>
    <w:rsid w:val="00B57685"/>
    <w:rsid w:val="00B6061E"/>
    <w:rsid w:val="00B71E58"/>
    <w:rsid w:val="00B77AFD"/>
    <w:rsid w:val="00B85432"/>
    <w:rsid w:val="00B87B9F"/>
    <w:rsid w:val="00B90872"/>
    <w:rsid w:val="00B924F3"/>
    <w:rsid w:val="00B9739A"/>
    <w:rsid w:val="00BA0B76"/>
    <w:rsid w:val="00BA30C1"/>
    <w:rsid w:val="00BA3D41"/>
    <w:rsid w:val="00BB1678"/>
    <w:rsid w:val="00BB36FD"/>
    <w:rsid w:val="00BB6E35"/>
    <w:rsid w:val="00BB7522"/>
    <w:rsid w:val="00BC1962"/>
    <w:rsid w:val="00BC2C0C"/>
    <w:rsid w:val="00BC4D8C"/>
    <w:rsid w:val="00BC4FA5"/>
    <w:rsid w:val="00BC6758"/>
    <w:rsid w:val="00BD4CE4"/>
    <w:rsid w:val="00BE0A3B"/>
    <w:rsid w:val="00BE1D54"/>
    <w:rsid w:val="00BE427F"/>
    <w:rsid w:val="00BE45DC"/>
    <w:rsid w:val="00BE5F51"/>
    <w:rsid w:val="00BE702F"/>
    <w:rsid w:val="00BF085D"/>
    <w:rsid w:val="00BF1EF8"/>
    <w:rsid w:val="00BF68A7"/>
    <w:rsid w:val="00C010D5"/>
    <w:rsid w:val="00C064DD"/>
    <w:rsid w:val="00C15F3B"/>
    <w:rsid w:val="00C20A82"/>
    <w:rsid w:val="00C236E6"/>
    <w:rsid w:val="00C26B0D"/>
    <w:rsid w:val="00C274AB"/>
    <w:rsid w:val="00C30FA8"/>
    <w:rsid w:val="00C343FA"/>
    <w:rsid w:val="00C3678F"/>
    <w:rsid w:val="00C379A5"/>
    <w:rsid w:val="00C41C9B"/>
    <w:rsid w:val="00C42A44"/>
    <w:rsid w:val="00C47909"/>
    <w:rsid w:val="00C50047"/>
    <w:rsid w:val="00C50DA9"/>
    <w:rsid w:val="00C54A96"/>
    <w:rsid w:val="00C551CA"/>
    <w:rsid w:val="00C634A4"/>
    <w:rsid w:val="00C65485"/>
    <w:rsid w:val="00C70917"/>
    <w:rsid w:val="00C71D82"/>
    <w:rsid w:val="00C75D21"/>
    <w:rsid w:val="00C7797A"/>
    <w:rsid w:val="00C8075D"/>
    <w:rsid w:val="00C80F84"/>
    <w:rsid w:val="00C82FB0"/>
    <w:rsid w:val="00C84BA6"/>
    <w:rsid w:val="00C909C0"/>
    <w:rsid w:val="00C92FF2"/>
    <w:rsid w:val="00C941C4"/>
    <w:rsid w:val="00C95DE3"/>
    <w:rsid w:val="00C97A98"/>
    <w:rsid w:val="00CA0A6E"/>
    <w:rsid w:val="00CB07C4"/>
    <w:rsid w:val="00CB2493"/>
    <w:rsid w:val="00CC1DCB"/>
    <w:rsid w:val="00CC3E27"/>
    <w:rsid w:val="00CC4AE4"/>
    <w:rsid w:val="00CC5A5D"/>
    <w:rsid w:val="00CD2C2C"/>
    <w:rsid w:val="00CD5518"/>
    <w:rsid w:val="00CE169B"/>
    <w:rsid w:val="00CE5022"/>
    <w:rsid w:val="00CE532C"/>
    <w:rsid w:val="00CE5720"/>
    <w:rsid w:val="00CE5940"/>
    <w:rsid w:val="00CE5FCC"/>
    <w:rsid w:val="00CE644B"/>
    <w:rsid w:val="00CE7225"/>
    <w:rsid w:val="00CE75E8"/>
    <w:rsid w:val="00CF0CAB"/>
    <w:rsid w:val="00CF3C91"/>
    <w:rsid w:val="00CF5DEC"/>
    <w:rsid w:val="00CF7496"/>
    <w:rsid w:val="00CF78AD"/>
    <w:rsid w:val="00D00CAC"/>
    <w:rsid w:val="00D034F1"/>
    <w:rsid w:val="00D03A36"/>
    <w:rsid w:val="00D04808"/>
    <w:rsid w:val="00D04949"/>
    <w:rsid w:val="00D04C7D"/>
    <w:rsid w:val="00D04DF3"/>
    <w:rsid w:val="00D05E1C"/>
    <w:rsid w:val="00D12EE7"/>
    <w:rsid w:val="00D1377E"/>
    <w:rsid w:val="00D13C06"/>
    <w:rsid w:val="00D15A12"/>
    <w:rsid w:val="00D16F4F"/>
    <w:rsid w:val="00D2205C"/>
    <w:rsid w:val="00D27052"/>
    <w:rsid w:val="00D30E1A"/>
    <w:rsid w:val="00D35DC4"/>
    <w:rsid w:val="00D36449"/>
    <w:rsid w:val="00D47F49"/>
    <w:rsid w:val="00D52455"/>
    <w:rsid w:val="00D53252"/>
    <w:rsid w:val="00D54193"/>
    <w:rsid w:val="00D555BF"/>
    <w:rsid w:val="00D565ED"/>
    <w:rsid w:val="00D57310"/>
    <w:rsid w:val="00D6088E"/>
    <w:rsid w:val="00D63C09"/>
    <w:rsid w:val="00D6472E"/>
    <w:rsid w:val="00D674C2"/>
    <w:rsid w:val="00D7245D"/>
    <w:rsid w:val="00D72B4C"/>
    <w:rsid w:val="00D74AB8"/>
    <w:rsid w:val="00D74FF1"/>
    <w:rsid w:val="00D81AE3"/>
    <w:rsid w:val="00D81BEF"/>
    <w:rsid w:val="00D824A7"/>
    <w:rsid w:val="00D82BC8"/>
    <w:rsid w:val="00D835F1"/>
    <w:rsid w:val="00D846C7"/>
    <w:rsid w:val="00D85113"/>
    <w:rsid w:val="00D85D4B"/>
    <w:rsid w:val="00D8776A"/>
    <w:rsid w:val="00D917A8"/>
    <w:rsid w:val="00D92DCD"/>
    <w:rsid w:val="00D95FC8"/>
    <w:rsid w:val="00DA4FD7"/>
    <w:rsid w:val="00DA5B69"/>
    <w:rsid w:val="00DA66B0"/>
    <w:rsid w:val="00DA7782"/>
    <w:rsid w:val="00DB0208"/>
    <w:rsid w:val="00DB083E"/>
    <w:rsid w:val="00DB0DC5"/>
    <w:rsid w:val="00DB16D5"/>
    <w:rsid w:val="00DB5625"/>
    <w:rsid w:val="00DB6100"/>
    <w:rsid w:val="00DC108D"/>
    <w:rsid w:val="00DC1FD3"/>
    <w:rsid w:val="00DC3F21"/>
    <w:rsid w:val="00DC644E"/>
    <w:rsid w:val="00DD01B4"/>
    <w:rsid w:val="00DD42AB"/>
    <w:rsid w:val="00DD4C8C"/>
    <w:rsid w:val="00DD59FD"/>
    <w:rsid w:val="00DD653E"/>
    <w:rsid w:val="00DE1107"/>
    <w:rsid w:val="00DE2B1E"/>
    <w:rsid w:val="00DE6974"/>
    <w:rsid w:val="00DE756A"/>
    <w:rsid w:val="00DF1486"/>
    <w:rsid w:val="00DF1B83"/>
    <w:rsid w:val="00DF41E4"/>
    <w:rsid w:val="00DF56B9"/>
    <w:rsid w:val="00DF5BC6"/>
    <w:rsid w:val="00DF6F92"/>
    <w:rsid w:val="00E014E8"/>
    <w:rsid w:val="00E0180B"/>
    <w:rsid w:val="00E128D8"/>
    <w:rsid w:val="00E17306"/>
    <w:rsid w:val="00E1753E"/>
    <w:rsid w:val="00E17854"/>
    <w:rsid w:val="00E216F0"/>
    <w:rsid w:val="00E2290A"/>
    <w:rsid w:val="00E23391"/>
    <w:rsid w:val="00E243D3"/>
    <w:rsid w:val="00E24B96"/>
    <w:rsid w:val="00E2561F"/>
    <w:rsid w:val="00E263F6"/>
    <w:rsid w:val="00E26EF3"/>
    <w:rsid w:val="00E33186"/>
    <w:rsid w:val="00E33307"/>
    <w:rsid w:val="00E338C1"/>
    <w:rsid w:val="00E34B6D"/>
    <w:rsid w:val="00E357BB"/>
    <w:rsid w:val="00E37A4B"/>
    <w:rsid w:val="00E45480"/>
    <w:rsid w:val="00E51154"/>
    <w:rsid w:val="00E5222A"/>
    <w:rsid w:val="00E529A4"/>
    <w:rsid w:val="00E53E77"/>
    <w:rsid w:val="00E568DB"/>
    <w:rsid w:val="00E64ADA"/>
    <w:rsid w:val="00E762E2"/>
    <w:rsid w:val="00E80F0A"/>
    <w:rsid w:val="00E81D44"/>
    <w:rsid w:val="00E83179"/>
    <w:rsid w:val="00E8595E"/>
    <w:rsid w:val="00E86CBC"/>
    <w:rsid w:val="00E87A0E"/>
    <w:rsid w:val="00E949DE"/>
    <w:rsid w:val="00E9532E"/>
    <w:rsid w:val="00E95A6B"/>
    <w:rsid w:val="00E95C40"/>
    <w:rsid w:val="00E96714"/>
    <w:rsid w:val="00E96CD6"/>
    <w:rsid w:val="00EA008F"/>
    <w:rsid w:val="00EA01AB"/>
    <w:rsid w:val="00EA0413"/>
    <w:rsid w:val="00EA29A3"/>
    <w:rsid w:val="00EA2FAF"/>
    <w:rsid w:val="00EA306A"/>
    <w:rsid w:val="00EA339B"/>
    <w:rsid w:val="00EA400D"/>
    <w:rsid w:val="00EA5D4F"/>
    <w:rsid w:val="00EA74C2"/>
    <w:rsid w:val="00EB539E"/>
    <w:rsid w:val="00EB7221"/>
    <w:rsid w:val="00EC1421"/>
    <w:rsid w:val="00ED069A"/>
    <w:rsid w:val="00ED097E"/>
    <w:rsid w:val="00ED1E61"/>
    <w:rsid w:val="00ED5883"/>
    <w:rsid w:val="00EE1CAB"/>
    <w:rsid w:val="00EE2A4B"/>
    <w:rsid w:val="00EE57F5"/>
    <w:rsid w:val="00EF23DE"/>
    <w:rsid w:val="00EF76C0"/>
    <w:rsid w:val="00F00C3E"/>
    <w:rsid w:val="00F01F35"/>
    <w:rsid w:val="00F03E1E"/>
    <w:rsid w:val="00F05233"/>
    <w:rsid w:val="00F055CF"/>
    <w:rsid w:val="00F11508"/>
    <w:rsid w:val="00F1273F"/>
    <w:rsid w:val="00F139B8"/>
    <w:rsid w:val="00F229B7"/>
    <w:rsid w:val="00F40556"/>
    <w:rsid w:val="00F42313"/>
    <w:rsid w:val="00F43C35"/>
    <w:rsid w:val="00F4682C"/>
    <w:rsid w:val="00F47B73"/>
    <w:rsid w:val="00F509DE"/>
    <w:rsid w:val="00F5579A"/>
    <w:rsid w:val="00F569B0"/>
    <w:rsid w:val="00F56C48"/>
    <w:rsid w:val="00F61EB0"/>
    <w:rsid w:val="00F7412D"/>
    <w:rsid w:val="00F77C7B"/>
    <w:rsid w:val="00F8003F"/>
    <w:rsid w:val="00F8014D"/>
    <w:rsid w:val="00F8348E"/>
    <w:rsid w:val="00F866E0"/>
    <w:rsid w:val="00F90A7B"/>
    <w:rsid w:val="00F9105C"/>
    <w:rsid w:val="00F91340"/>
    <w:rsid w:val="00F92B87"/>
    <w:rsid w:val="00F96C58"/>
    <w:rsid w:val="00F96CC9"/>
    <w:rsid w:val="00FA02B4"/>
    <w:rsid w:val="00FA0A15"/>
    <w:rsid w:val="00FA4886"/>
    <w:rsid w:val="00FA56DB"/>
    <w:rsid w:val="00FA5BDA"/>
    <w:rsid w:val="00FA792C"/>
    <w:rsid w:val="00FB26C1"/>
    <w:rsid w:val="00FB4652"/>
    <w:rsid w:val="00FB5D29"/>
    <w:rsid w:val="00FB77B3"/>
    <w:rsid w:val="00FC117C"/>
    <w:rsid w:val="00FC34E4"/>
    <w:rsid w:val="00FC377F"/>
    <w:rsid w:val="00FC4367"/>
    <w:rsid w:val="00FD1EA7"/>
    <w:rsid w:val="00FD5BB6"/>
    <w:rsid w:val="00FD5E60"/>
    <w:rsid w:val="00FE197B"/>
    <w:rsid w:val="00FE1DB5"/>
    <w:rsid w:val="00FE2AD8"/>
    <w:rsid w:val="00FE2B3E"/>
    <w:rsid w:val="00FE2FA7"/>
    <w:rsid w:val="00FE5375"/>
    <w:rsid w:val="00FE760B"/>
    <w:rsid w:val="00FF0678"/>
    <w:rsid w:val="00FF075B"/>
    <w:rsid w:val="00FF0F23"/>
    <w:rsid w:val="00FF46CB"/>
    <w:rsid w:val="00FF4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97281"/>
    <o:shapelayout v:ext="edit">
      <o:idmap v:ext="edit" data="1"/>
    </o:shapelayout>
  </w:shapeDefaults>
  <w:decimalSymbol w:val="."/>
  <w:listSeparator w:val=","/>
  <w15:chartTrackingRefBased/>
  <w15:docId w15:val="{6C45A3B2-4A13-496A-B64F-B2F50905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6">
    <w:name w:val="xl36"/>
    <w:basedOn w:val="a"/>
    <w:pPr>
      <w:widowControl/>
      <w:spacing w:before="100" w:after="100"/>
      <w:jc w:val="center"/>
      <w:textAlignment w:val="center"/>
    </w:pPr>
    <w:rPr>
      <w:kern w:val="0"/>
      <w:sz w:val="20"/>
    </w:rPr>
  </w:style>
  <w:style w:type="paragraph" w:styleId="a3">
    <w:name w:val="header"/>
    <w:basedOn w:val="a"/>
    <w:rsid w:val="003B279B"/>
    <w:pPr>
      <w:tabs>
        <w:tab w:val="center" w:pos="4153"/>
        <w:tab w:val="right" w:pos="8306"/>
      </w:tabs>
      <w:snapToGrid w:val="0"/>
    </w:pPr>
    <w:rPr>
      <w:sz w:val="20"/>
    </w:rPr>
  </w:style>
  <w:style w:type="paragraph" w:styleId="a4">
    <w:name w:val="footer"/>
    <w:basedOn w:val="a"/>
    <w:rsid w:val="003B279B"/>
    <w:pPr>
      <w:tabs>
        <w:tab w:val="center" w:pos="4153"/>
        <w:tab w:val="right" w:pos="8306"/>
      </w:tabs>
      <w:snapToGrid w:val="0"/>
    </w:pPr>
    <w:rPr>
      <w:sz w:val="20"/>
    </w:rPr>
  </w:style>
  <w:style w:type="character" w:styleId="a5">
    <w:name w:val="page number"/>
    <w:basedOn w:val="a0"/>
    <w:rsid w:val="003748F2"/>
  </w:style>
  <w:style w:type="paragraph" w:styleId="a6">
    <w:name w:val="Balloon Text"/>
    <w:basedOn w:val="a"/>
    <w:semiHidden/>
    <w:rsid w:val="00D63C09"/>
    <w:rPr>
      <w:rFonts w:ascii="Arial" w:hAnsi="Arial"/>
      <w:sz w:val="18"/>
      <w:szCs w:val="18"/>
    </w:rPr>
  </w:style>
  <w:style w:type="paragraph" w:customStyle="1" w:styleId="a7">
    <w:name w:val="字元"/>
    <w:basedOn w:val="a"/>
    <w:rsid w:val="00D81AE3"/>
    <w:pPr>
      <w:widowControl/>
      <w:spacing w:after="160" w:line="240" w:lineRule="exact"/>
    </w:pPr>
    <w:rPr>
      <w:rFonts w:ascii="Tahoma" w:hAnsi="Tahoma"/>
      <w:kern w:val="0"/>
      <w:sz w:val="20"/>
      <w:lang w:eastAsia="en-US"/>
    </w:rPr>
  </w:style>
  <w:style w:type="paragraph" w:customStyle="1" w:styleId="1">
    <w:name w:val="1."/>
    <w:basedOn w:val="a"/>
    <w:link w:val="10"/>
    <w:autoRedefine/>
    <w:rsid w:val="00D81AE3"/>
    <w:pPr>
      <w:kinsoku w:val="0"/>
      <w:overflowPunct w:val="0"/>
      <w:spacing w:line="340" w:lineRule="exact"/>
      <w:ind w:leftChars="19" w:left="100" w:hangingChars="100" w:hanging="100"/>
      <w:jc w:val="both"/>
      <w:textAlignment w:val="center"/>
    </w:pPr>
    <w:rPr>
      <w:rFonts w:ascii="華康楷書體W5外字集" w:eastAsia="標楷體" w:hAnsi="華康楷書體W5外字集" w:cs="華康楷書體W5外字集"/>
      <w:sz w:val="22"/>
      <w:szCs w:val="22"/>
    </w:rPr>
  </w:style>
  <w:style w:type="character" w:customStyle="1" w:styleId="10">
    <w:name w:val="1. 字元"/>
    <w:link w:val="1"/>
    <w:rsid w:val="00D81AE3"/>
    <w:rPr>
      <w:rFonts w:ascii="華康楷書體W5外字集" w:eastAsia="標楷體" w:hAnsi="華康楷書體W5外字集" w:cs="華康楷書體W5外字集"/>
      <w:kern w:val="2"/>
      <w:sz w:val="22"/>
      <w:szCs w:val="22"/>
      <w:lang w:val="en-US" w:eastAsia="zh-TW" w:bidi="ar-SA"/>
    </w:rPr>
  </w:style>
  <w:style w:type="paragraph" w:customStyle="1" w:styleId="a8">
    <w:name w:val="(一)"/>
    <w:basedOn w:val="a"/>
    <w:rsid w:val="002D534A"/>
    <w:pPr>
      <w:spacing w:line="340" w:lineRule="exact"/>
      <w:ind w:left="100" w:hangingChars="100" w:hanging="100"/>
      <w:jc w:val="both"/>
    </w:pPr>
    <w:rPr>
      <w:rFonts w:ascii="標楷體" w:eastAsia="標楷體" w:hAnsi="標楷體"/>
      <w:sz w:val="22"/>
      <w:szCs w:val="22"/>
    </w:rPr>
  </w:style>
  <w:style w:type="paragraph" w:customStyle="1" w:styleId="a9">
    <w:name w:val="字元 字元 字元 字元 字元 字元 字元 字元"/>
    <w:basedOn w:val="a"/>
    <w:rsid w:val="00A14187"/>
    <w:pPr>
      <w:widowControl/>
      <w:spacing w:after="160" w:line="240" w:lineRule="exact"/>
    </w:pPr>
    <w:rPr>
      <w:rFonts w:ascii="Tahoma" w:hAnsi="Tahoma"/>
      <w:kern w:val="0"/>
      <w:sz w:val="20"/>
      <w:lang w:eastAsia="en-US"/>
    </w:rPr>
  </w:style>
  <w:style w:type="paragraph" w:customStyle="1" w:styleId="aa">
    <w:name w:val="字元 字元 字元 字元 字元"/>
    <w:basedOn w:val="a"/>
    <w:rsid w:val="0047301E"/>
    <w:pPr>
      <w:widowControl/>
      <w:spacing w:after="160" w:line="240" w:lineRule="exact"/>
    </w:pPr>
    <w:rPr>
      <w:rFonts w:ascii="Tahoma" w:hAnsi="Tahoma"/>
      <w:kern w:val="0"/>
      <w:sz w:val="20"/>
      <w:lang w:eastAsia="en-US"/>
    </w:rPr>
  </w:style>
  <w:style w:type="paragraph" w:styleId="11">
    <w:name w:val="toc 1"/>
    <w:basedOn w:val="a"/>
    <w:next w:val="a"/>
    <w:semiHidden/>
    <w:rsid w:val="00C54A96"/>
    <w:pPr>
      <w:tabs>
        <w:tab w:val="right" w:leader="dot" w:pos="11726"/>
      </w:tabs>
      <w:spacing w:line="480" w:lineRule="exact"/>
      <w:ind w:left="558" w:hangingChars="215" w:hanging="558"/>
      <w:jc w:val="both"/>
    </w:pPr>
    <w:rPr>
      <w:rFonts w:eastAsia="標楷體"/>
      <w:snapToGrid w:val="0"/>
      <w:spacing w:val="-10"/>
      <w:sz w:val="22"/>
      <w:szCs w:val="22"/>
    </w:rPr>
  </w:style>
  <w:style w:type="paragraph" w:customStyle="1" w:styleId="12">
    <w:name w:val="(1)"/>
    <w:basedOn w:val="ab"/>
    <w:autoRedefine/>
    <w:rsid w:val="001F2369"/>
    <w:pPr>
      <w:spacing w:line="340" w:lineRule="exact"/>
      <w:ind w:leftChars="200" w:left="660" w:hangingChars="100" w:hanging="220"/>
      <w:jc w:val="both"/>
    </w:pPr>
    <w:rPr>
      <w:rFonts w:ascii="標楷體" w:eastAsia="標楷體" w:hAnsi="標楷體" w:cs="華康楷書體W5外字集"/>
      <w:sz w:val="22"/>
      <w:szCs w:val="22"/>
    </w:rPr>
  </w:style>
  <w:style w:type="paragraph" w:styleId="ab">
    <w:name w:val="Plain Text"/>
    <w:basedOn w:val="a"/>
    <w:rsid w:val="001F2369"/>
    <w:rPr>
      <w:rFonts w:ascii="細明體" w:eastAsia="細明體" w:hAnsi="Courier New" w:cs="Courier New"/>
      <w:szCs w:val="24"/>
    </w:rPr>
  </w:style>
  <w:style w:type="table" w:styleId="ac">
    <w:name w:val="Table Grid"/>
    <w:basedOn w:val="a1"/>
    <w:rsid w:val="003B387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字元 字元 字元"/>
    <w:basedOn w:val="a"/>
    <w:rsid w:val="00BE702F"/>
    <w:pPr>
      <w:widowControl/>
      <w:spacing w:after="160" w:line="240" w:lineRule="exact"/>
    </w:pPr>
    <w:rPr>
      <w:rFonts w:ascii="Tahoma" w:hAnsi="Tahoma"/>
      <w:kern w:val="0"/>
      <w:sz w:val="20"/>
      <w:lang w:eastAsia="en-US"/>
    </w:rPr>
  </w:style>
  <w:style w:type="paragraph" w:customStyle="1" w:styleId="13">
    <w:name w:val="字元 字元 字元1"/>
    <w:basedOn w:val="a"/>
    <w:rsid w:val="00533D75"/>
    <w:pPr>
      <w:widowControl/>
      <w:snapToGrid w:val="0"/>
      <w:spacing w:after="160" w:line="240" w:lineRule="exact"/>
    </w:pPr>
    <w:rPr>
      <w:rFonts w:ascii="Tahoma" w:hAnsi="Tahoma"/>
      <w:kern w:val="0"/>
      <w:sz w:val="20"/>
      <w:lang w:eastAsia="en-US"/>
    </w:rPr>
  </w:style>
  <w:style w:type="paragraph" w:styleId="ae">
    <w:name w:val="List Paragraph"/>
    <w:basedOn w:val="a"/>
    <w:uiPriority w:val="34"/>
    <w:qFormat/>
    <w:rsid w:val="00475A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9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855F5-EE9B-4B97-ACC5-C593D7F9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10126</Words>
  <Characters>471</Characters>
  <Application>Microsoft Office Word</Application>
  <DocSecurity>0</DocSecurity>
  <Lines>3</Lines>
  <Paragraphs>21</Paragraphs>
  <ScaleCrop>false</ScaleCrop>
  <Company>ksi</Company>
  <LinksUpToDate>false</LinksUpToDate>
  <CharactersWithSpaces>10576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 關 名 稱）</dc:title>
  <dc:subject/>
  <dc:creator>mjwu</dc:creator>
  <cp:keywords/>
  <cp:lastModifiedBy>歐陽玉珍</cp:lastModifiedBy>
  <cp:revision>2</cp:revision>
  <cp:lastPrinted>2021-08-03T01:14:00Z</cp:lastPrinted>
  <dcterms:created xsi:type="dcterms:W3CDTF">2023-05-18T09:01:00Z</dcterms:created>
  <dcterms:modified xsi:type="dcterms:W3CDTF">2023-05-18T09:01:00Z</dcterms:modified>
</cp:coreProperties>
</file>